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485" w:rsidRPr="002B7485" w:rsidRDefault="005201E1" w:rsidP="002B7485">
      <w:pPr>
        <w:widowControl w:val="0"/>
        <w:shd w:val="clear" w:color="auto" w:fill="FFFFFF"/>
        <w:ind w:firstLine="397"/>
        <w:rPr>
          <w:b/>
        </w:rPr>
      </w:pPr>
      <w:bookmarkStart w:id="0" w:name="_Toc501421219"/>
      <w:bookmarkStart w:id="1" w:name="_Toc499467395"/>
      <w:r w:rsidRPr="005201E1">
        <w:rPr>
          <w:b/>
          <w:noProof/>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350.2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F332D6" w:rsidRPr="00F332D6" w:rsidRDefault="00F332D6" w:rsidP="002B7485">
                  <w:pPr>
                    <w:rPr>
                      <w:rFonts w:ascii="Arial" w:hAnsi="Arial" w:cs="Arial"/>
                      <w:i/>
                      <w:lang w:val="en-US"/>
                    </w:rPr>
                  </w:pPr>
                  <w:r w:rsidRPr="00093B9C">
                    <w:rPr>
                      <w:rFonts w:ascii="Arial" w:hAnsi="Arial" w:cs="Arial"/>
                      <w:b/>
                    </w:rPr>
                    <w:t>УДК</w:t>
                  </w:r>
                  <w:r w:rsidRPr="00F332D6">
                    <w:rPr>
                      <w:rFonts w:ascii="Arial" w:hAnsi="Arial" w:cs="Arial"/>
                      <w:b/>
                      <w:lang w:val="en-US"/>
                    </w:rPr>
                    <w:t xml:space="preserve"> 334.021 </w:t>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r>
                  <w:r w:rsidRPr="00F332D6">
                    <w:rPr>
                      <w:rFonts w:ascii="Arial" w:hAnsi="Arial" w:cs="Arial"/>
                      <w:b/>
                      <w:lang w:val="en-US"/>
                    </w:rPr>
                    <w:tab/>
                    <w:t xml:space="preserve"> </w:t>
                  </w:r>
                  <w:r w:rsidRPr="00093B9C">
                    <w:rPr>
                      <w:rFonts w:ascii="Arial" w:hAnsi="Arial" w:cs="Arial"/>
                      <w:b/>
                      <w:lang w:val="en-US"/>
                    </w:rPr>
                    <w:t>DOI</w:t>
                  </w:r>
                  <w:r w:rsidRPr="00F332D6">
                    <w:rPr>
                      <w:rFonts w:ascii="Arial" w:hAnsi="Arial" w:cs="Arial"/>
                      <w:b/>
                      <w:lang w:val="en-US"/>
                    </w:rPr>
                    <w:t>: 10.14529/</w:t>
                  </w:r>
                  <w:r w:rsidRPr="00093B9C">
                    <w:rPr>
                      <w:rFonts w:ascii="Arial" w:hAnsi="Arial" w:cs="Arial"/>
                      <w:b/>
                      <w:lang w:val="en-US"/>
                    </w:rPr>
                    <w:t>em</w:t>
                  </w:r>
                  <w:r w:rsidRPr="00F332D6">
                    <w:rPr>
                      <w:rFonts w:ascii="Arial" w:hAnsi="Arial" w:cs="Arial"/>
                      <w:b/>
                      <w:lang w:val="en-US"/>
                    </w:rPr>
                    <w:t>210406</w:t>
                  </w:r>
                </w:p>
                <w:p w:rsidR="00F332D6" w:rsidRPr="00F332D6" w:rsidRDefault="00F332D6" w:rsidP="002B7485">
                  <w:pPr>
                    <w:rPr>
                      <w:rFonts w:ascii="Arial" w:hAnsi="Arial" w:cs="Arial"/>
                      <w:b/>
                      <w:lang w:val="en-US"/>
                    </w:rPr>
                  </w:pPr>
                  <w:r w:rsidRPr="00F332D6">
                    <w:rPr>
                      <w:rFonts w:ascii="Arial" w:hAnsi="Arial" w:cs="Arial"/>
                      <w:b/>
                      <w:lang w:val="en-US"/>
                    </w:rPr>
                    <w:t>JEL M14, R58</w:t>
                  </w:r>
                </w:p>
                <w:p w:rsidR="00F332D6" w:rsidRPr="00093B9C" w:rsidRDefault="00F332D6" w:rsidP="002B7485">
                  <w:pPr>
                    <w:spacing w:before="120" w:after="120"/>
                    <w:jc w:val="left"/>
                    <w:rPr>
                      <w:rFonts w:ascii="Arial" w:hAnsi="Arial" w:cs="Arial"/>
                      <w:b/>
                      <w:sz w:val="28"/>
                      <w:szCs w:val="28"/>
                    </w:rPr>
                  </w:pPr>
                  <w:r w:rsidRPr="00093B9C">
                    <w:rPr>
                      <w:rFonts w:ascii="Arial" w:hAnsi="Arial" w:cs="Arial"/>
                      <w:b/>
                      <w:sz w:val="28"/>
                      <w:szCs w:val="28"/>
                    </w:rPr>
                    <w:t xml:space="preserve">МЕТОД ОЦЕНКИ РЕГИОНАЛЬНЫХ ПОКАЗАТЕЛЕЙ </w:t>
                  </w:r>
                  <w:r>
                    <w:rPr>
                      <w:rFonts w:ascii="Arial" w:hAnsi="Arial" w:cs="Arial"/>
                      <w:b/>
                      <w:sz w:val="28"/>
                      <w:szCs w:val="28"/>
                    </w:rPr>
                    <w:br/>
                  </w:r>
                  <w:r w:rsidRPr="00093B9C">
                    <w:rPr>
                      <w:rFonts w:ascii="Arial" w:hAnsi="Arial" w:cs="Arial"/>
                      <w:b/>
                      <w:sz w:val="28"/>
                      <w:szCs w:val="28"/>
                    </w:rPr>
                    <w:t>УСТОЙЧИВОГО РАЗВИТИЯ В СФЕРЕ ИНДУСТРИИ И ИННОВАЦИЙ</w:t>
                  </w:r>
                </w:p>
                <w:p w:rsidR="00F332D6" w:rsidRPr="00093B9C" w:rsidRDefault="00F332D6" w:rsidP="002B7485">
                  <w:pPr>
                    <w:spacing w:after="60"/>
                    <w:rPr>
                      <w:rFonts w:ascii="Arial" w:hAnsi="Arial" w:cs="Arial"/>
                      <w:b/>
                      <w:i/>
                      <w:sz w:val="24"/>
                      <w:szCs w:val="28"/>
                    </w:rPr>
                  </w:pPr>
                  <w:r w:rsidRPr="00093B9C">
                    <w:rPr>
                      <w:rFonts w:ascii="Arial" w:hAnsi="Arial" w:cs="Arial"/>
                      <w:b/>
                      <w:i/>
                      <w:sz w:val="24"/>
                      <w:szCs w:val="28"/>
                    </w:rPr>
                    <w:t>О.М. Шаталова</w:t>
                  </w:r>
                  <w:proofErr w:type="gramStart"/>
                  <w:r w:rsidRPr="00093B9C">
                    <w:rPr>
                      <w:rFonts w:ascii="Arial" w:hAnsi="Arial" w:cs="Arial"/>
                      <w:b/>
                      <w:i/>
                      <w:sz w:val="24"/>
                      <w:szCs w:val="28"/>
                      <w:vertAlign w:val="superscript"/>
                    </w:rPr>
                    <w:t>1</w:t>
                  </w:r>
                  <w:proofErr w:type="gramEnd"/>
                  <w:r w:rsidRPr="00093B9C">
                    <w:rPr>
                      <w:rFonts w:ascii="Arial" w:hAnsi="Arial" w:cs="Arial"/>
                      <w:b/>
                      <w:i/>
                      <w:sz w:val="24"/>
                      <w:szCs w:val="28"/>
                    </w:rPr>
                    <w:t>, Ю.Г. Кузменко</w:t>
                  </w:r>
                  <w:r w:rsidRPr="00093B9C">
                    <w:rPr>
                      <w:rFonts w:ascii="Arial" w:hAnsi="Arial" w:cs="Arial"/>
                      <w:b/>
                      <w:i/>
                      <w:sz w:val="24"/>
                      <w:szCs w:val="28"/>
                      <w:vertAlign w:val="superscript"/>
                    </w:rPr>
                    <w:t>2</w:t>
                  </w:r>
                </w:p>
                <w:p w:rsidR="00F332D6" w:rsidRPr="002B7485" w:rsidRDefault="00F332D6" w:rsidP="002B7485">
                  <w:pPr>
                    <w:rPr>
                      <w:rFonts w:ascii="Arial" w:hAnsi="Arial" w:cs="Arial"/>
                      <w:i/>
                      <w:iCs/>
                      <w:sz w:val="22"/>
                      <w:szCs w:val="28"/>
                    </w:rPr>
                  </w:pPr>
                  <w:r w:rsidRPr="002B7485">
                    <w:rPr>
                      <w:rFonts w:ascii="Arial" w:hAnsi="Arial" w:cs="Arial"/>
                      <w:i/>
                      <w:iCs/>
                      <w:sz w:val="22"/>
                      <w:szCs w:val="28"/>
                      <w:vertAlign w:val="superscript"/>
                    </w:rPr>
                    <w:t>1</w:t>
                  </w:r>
                  <w:r w:rsidRPr="002B7485">
                    <w:rPr>
                      <w:rFonts w:ascii="Arial" w:hAnsi="Arial" w:cs="Arial"/>
                      <w:i/>
                      <w:iCs/>
                      <w:sz w:val="22"/>
                      <w:szCs w:val="28"/>
                    </w:rPr>
                    <w:t xml:space="preserve"> Удмуртский филиал Института экономики </w:t>
                  </w:r>
                  <w:proofErr w:type="spellStart"/>
                  <w:r w:rsidRPr="002B7485">
                    <w:rPr>
                      <w:rFonts w:ascii="Arial" w:hAnsi="Arial" w:cs="Arial"/>
                      <w:i/>
                      <w:iCs/>
                      <w:sz w:val="22"/>
                      <w:szCs w:val="28"/>
                    </w:rPr>
                    <w:t>УрО</w:t>
                  </w:r>
                  <w:proofErr w:type="spellEnd"/>
                  <w:r w:rsidRPr="002B7485">
                    <w:rPr>
                      <w:rFonts w:ascii="Arial" w:hAnsi="Arial" w:cs="Arial"/>
                      <w:i/>
                      <w:iCs/>
                      <w:sz w:val="22"/>
                      <w:szCs w:val="28"/>
                    </w:rPr>
                    <w:t xml:space="preserve"> РАН, г. Ижевск, Россия</w:t>
                  </w:r>
                </w:p>
                <w:p w:rsidR="00F332D6" w:rsidRPr="002B7485" w:rsidRDefault="00F332D6" w:rsidP="002B7485">
                  <w:pPr>
                    <w:rPr>
                      <w:rFonts w:ascii="Arial" w:hAnsi="Arial" w:cs="Arial"/>
                      <w:i/>
                      <w:iCs/>
                      <w:sz w:val="22"/>
                      <w:szCs w:val="28"/>
                    </w:rPr>
                  </w:pPr>
                  <w:r w:rsidRPr="002B7485">
                    <w:rPr>
                      <w:rFonts w:ascii="Arial" w:hAnsi="Arial" w:cs="Arial"/>
                      <w:i/>
                      <w:iCs/>
                      <w:sz w:val="22"/>
                      <w:szCs w:val="28"/>
                      <w:vertAlign w:val="superscript"/>
                    </w:rPr>
                    <w:t xml:space="preserve">2 </w:t>
                  </w:r>
                  <w:r w:rsidRPr="002B7485">
                    <w:rPr>
                      <w:rFonts w:ascii="Arial" w:hAnsi="Arial" w:cs="Arial"/>
                      <w:i/>
                      <w:iCs/>
                      <w:sz w:val="22"/>
                      <w:szCs w:val="28"/>
                    </w:rPr>
                    <w:t>Южно-Уральский государственный университет, г. Челябинск, Россия</w:t>
                  </w:r>
                </w:p>
                <w:p w:rsidR="00F332D6" w:rsidRPr="00093B9C" w:rsidRDefault="00F332D6" w:rsidP="002B7485">
                  <w:pPr>
                    <w:ind w:left="1134" w:firstLine="397"/>
                    <w:rPr>
                      <w:sz w:val="19"/>
                      <w:szCs w:val="19"/>
                    </w:rPr>
                  </w:pPr>
                </w:p>
                <w:p w:rsidR="00F332D6" w:rsidRPr="00093B9C" w:rsidRDefault="00F332D6" w:rsidP="002B7485">
                  <w:pPr>
                    <w:ind w:left="1134" w:firstLine="397"/>
                    <w:rPr>
                      <w:sz w:val="19"/>
                      <w:szCs w:val="19"/>
                    </w:rPr>
                  </w:pPr>
                </w:p>
                <w:p w:rsidR="00F332D6" w:rsidRPr="00093B9C" w:rsidRDefault="00F332D6" w:rsidP="002B7485">
                  <w:pPr>
                    <w:ind w:left="1134" w:firstLine="397"/>
                    <w:rPr>
                      <w:color w:val="000000"/>
                      <w:sz w:val="19"/>
                      <w:szCs w:val="19"/>
                    </w:rPr>
                  </w:pPr>
                  <w:r w:rsidRPr="00093B9C">
                    <w:rPr>
                      <w:sz w:val="19"/>
                      <w:szCs w:val="19"/>
                    </w:rPr>
                    <w:t>Статья представляет разработанный авторами метод оценки региональных показателей у</w:t>
                  </w:r>
                  <w:r w:rsidRPr="00093B9C">
                    <w:rPr>
                      <w:sz w:val="19"/>
                      <w:szCs w:val="19"/>
                    </w:rPr>
                    <w:t>с</w:t>
                  </w:r>
                  <w:r w:rsidRPr="00093B9C">
                    <w:rPr>
                      <w:sz w:val="19"/>
                      <w:szCs w:val="19"/>
                    </w:rPr>
                    <w:t>тойчивого развития в сфере индустрии и инноваций. Предложенный метод построен на поним</w:t>
                  </w:r>
                  <w:r w:rsidRPr="00093B9C">
                    <w:rPr>
                      <w:sz w:val="19"/>
                      <w:szCs w:val="19"/>
                    </w:rPr>
                    <w:t>а</w:t>
                  </w:r>
                  <w:r w:rsidRPr="00093B9C">
                    <w:rPr>
                      <w:sz w:val="19"/>
                      <w:szCs w:val="19"/>
                    </w:rPr>
                    <w:t xml:space="preserve">нии устойчивости с позиций </w:t>
                  </w:r>
                  <w:r w:rsidRPr="00093B9C">
                    <w:rPr>
                      <w:i/>
                      <w:sz w:val="19"/>
                      <w:szCs w:val="19"/>
                    </w:rPr>
                    <w:t>стабильности</w:t>
                  </w:r>
                  <w:r w:rsidRPr="00093B9C">
                    <w:rPr>
                      <w:sz w:val="19"/>
                      <w:szCs w:val="19"/>
                    </w:rPr>
                    <w:t xml:space="preserve"> (</w:t>
                  </w:r>
                  <w:r w:rsidRPr="00093B9C">
                    <w:rPr>
                      <w:sz w:val="19"/>
                      <w:szCs w:val="19"/>
                      <w:lang w:val="en-US"/>
                    </w:rPr>
                    <w:t>S</w:t>
                  </w:r>
                  <w:proofErr w:type="spellStart"/>
                  <w:r w:rsidRPr="00093B9C">
                    <w:rPr>
                      <w:sz w:val="19"/>
                      <w:szCs w:val="19"/>
                    </w:rPr>
                    <w:t>ustainable</w:t>
                  </w:r>
                  <w:proofErr w:type="spellEnd"/>
                  <w:r w:rsidRPr="00093B9C">
                    <w:rPr>
                      <w:sz w:val="19"/>
                      <w:szCs w:val="19"/>
                    </w:rPr>
                    <w:t>), заложенном в концепц</w:t>
                  </w:r>
                  <w:proofErr w:type="gramStart"/>
                  <w:r w:rsidRPr="00093B9C">
                    <w:rPr>
                      <w:sz w:val="19"/>
                      <w:szCs w:val="19"/>
                    </w:rPr>
                    <w:t>ии ОО</w:t>
                  </w:r>
                  <w:proofErr w:type="gramEnd"/>
                  <w:r w:rsidRPr="00093B9C">
                    <w:rPr>
                      <w:sz w:val="19"/>
                      <w:szCs w:val="19"/>
                    </w:rPr>
                    <w:t>Н об усто</w:t>
                  </w:r>
                  <w:r w:rsidRPr="00093B9C">
                    <w:rPr>
                      <w:sz w:val="19"/>
                      <w:szCs w:val="19"/>
                    </w:rPr>
                    <w:t>й</w:t>
                  </w:r>
                  <w:r w:rsidRPr="00093B9C">
                    <w:rPr>
                      <w:sz w:val="19"/>
                      <w:szCs w:val="19"/>
                    </w:rPr>
                    <w:t>чивом развитии. Авторский метод включает структурную модель декомпозиции соответствующих национальных показателей и алгоритм оценки интегрального показателя устойчивого развития р</w:t>
                  </w:r>
                  <w:r w:rsidRPr="00093B9C">
                    <w:rPr>
                      <w:sz w:val="19"/>
                      <w:szCs w:val="19"/>
                    </w:rPr>
                    <w:t>е</w:t>
                  </w:r>
                  <w:r w:rsidRPr="00093B9C">
                    <w:rPr>
                      <w:sz w:val="19"/>
                      <w:szCs w:val="19"/>
                    </w:rPr>
                    <w:t>гиона в сфере индустрии и инноваций (</w:t>
                  </w:r>
                  <w:proofErr w:type="spellStart"/>
                  <w:r w:rsidRPr="00093B9C">
                    <w:rPr>
                      <w:color w:val="000000"/>
                      <w:sz w:val="19"/>
                      <w:szCs w:val="19"/>
                      <w:lang w:val="en-US"/>
                    </w:rPr>
                    <w:t>SD</w:t>
                  </w:r>
                  <w:r w:rsidRPr="00093B9C">
                    <w:rPr>
                      <w:color w:val="000000"/>
                      <w:sz w:val="19"/>
                      <w:szCs w:val="19"/>
                      <w:vertAlign w:val="subscript"/>
                      <w:lang w:val="en-US"/>
                    </w:rPr>
                    <w:t>ind</w:t>
                  </w:r>
                  <w:proofErr w:type="spellEnd"/>
                  <w:r w:rsidRPr="00093B9C">
                    <w:rPr>
                      <w:color w:val="000000"/>
                      <w:sz w:val="19"/>
                      <w:szCs w:val="19"/>
                      <w:vertAlign w:val="subscript"/>
                    </w:rPr>
                    <w:t>(9)</w:t>
                  </w:r>
                  <w:r w:rsidRPr="00093B9C">
                    <w:rPr>
                      <w:sz w:val="19"/>
                      <w:szCs w:val="19"/>
                    </w:rPr>
                    <w:t>). Структурная модель декомпозиции национальных показателей устойчивого развития разработана в контексте сложившейся системы государстве</w:t>
                  </w:r>
                  <w:r w:rsidRPr="00093B9C">
                    <w:rPr>
                      <w:sz w:val="19"/>
                      <w:szCs w:val="19"/>
                    </w:rPr>
                    <w:t>н</w:t>
                  </w:r>
                  <w:r w:rsidRPr="00093B9C">
                    <w:rPr>
                      <w:sz w:val="19"/>
                      <w:szCs w:val="19"/>
                    </w:rPr>
                    <w:t xml:space="preserve">ной региональной статистики. Оценка интегрального показателя </w:t>
                  </w:r>
                  <w:proofErr w:type="spellStart"/>
                  <w:r w:rsidRPr="00093B9C">
                    <w:rPr>
                      <w:color w:val="000000"/>
                      <w:sz w:val="19"/>
                      <w:szCs w:val="19"/>
                      <w:lang w:val="en-US"/>
                    </w:rPr>
                    <w:t>SD</w:t>
                  </w:r>
                  <w:r w:rsidRPr="00093B9C">
                    <w:rPr>
                      <w:color w:val="000000"/>
                      <w:sz w:val="19"/>
                      <w:szCs w:val="19"/>
                      <w:vertAlign w:val="subscript"/>
                      <w:lang w:val="en-US"/>
                    </w:rPr>
                    <w:t>ind</w:t>
                  </w:r>
                  <w:proofErr w:type="spellEnd"/>
                  <w:r w:rsidRPr="00093B9C">
                    <w:rPr>
                      <w:color w:val="000000"/>
                      <w:sz w:val="19"/>
                      <w:szCs w:val="19"/>
                      <w:vertAlign w:val="subscript"/>
                    </w:rPr>
                    <w:t>(9)</w:t>
                  </w:r>
                  <w:r w:rsidRPr="00093B9C">
                    <w:rPr>
                      <w:sz w:val="19"/>
                      <w:szCs w:val="19"/>
                    </w:rPr>
                    <w:t xml:space="preserve"> реализована с использ</w:t>
                  </w:r>
                  <w:r w:rsidRPr="00093B9C">
                    <w:rPr>
                      <w:sz w:val="19"/>
                      <w:szCs w:val="19"/>
                    </w:rPr>
                    <w:t>о</w:t>
                  </w:r>
                  <w:r w:rsidRPr="00093B9C">
                    <w:rPr>
                      <w:sz w:val="19"/>
                      <w:szCs w:val="19"/>
                    </w:rPr>
                    <w:t xml:space="preserve">ванием интеллектуальной процедуры нечеткого логического вывода. </w:t>
                  </w:r>
                  <w:r w:rsidRPr="00093B9C">
                    <w:rPr>
                      <w:color w:val="000000"/>
                      <w:sz w:val="19"/>
                      <w:szCs w:val="19"/>
                    </w:rPr>
                    <w:t xml:space="preserve">Интегральный показатель </w:t>
                  </w:r>
                  <w:proofErr w:type="spellStart"/>
                  <w:r w:rsidRPr="00093B9C">
                    <w:rPr>
                      <w:color w:val="000000"/>
                      <w:sz w:val="19"/>
                      <w:szCs w:val="19"/>
                      <w:lang w:val="en-US"/>
                    </w:rPr>
                    <w:t>SD</w:t>
                  </w:r>
                  <w:r w:rsidRPr="00093B9C">
                    <w:rPr>
                      <w:color w:val="000000"/>
                      <w:sz w:val="19"/>
                      <w:szCs w:val="19"/>
                      <w:vertAlign w:val="subscript"/>
                      <w:lang w:val="en-US"/>
                    </w:rPr>
                    <w:t>ind</w:t>
                  </w:r>
                  <w:proofErr w:type="spellEnd"/>
                  <w:r w:rsidRPr="00093B9C">
                    <w:rPr>
                      <w:color w:val="000000"/>
                      <w:sz w:val="19"/>
                      <w:szCs w:val="19"/>
                      <w:vertAlign w:val="subscript"/>
                    </w:rPr>
                    <w:t>(9)</w:t>
                  </w:r>
                  <w:r w:rsidRPr="00093B9C">
                    <w:rPr>
                      <w:color w:val="000000"/>
                      <w:sz w:val="19"/>
                      <w:szCs w:val="19"/>
                    </w:rPr>
                    <w:t xml:space="preserve"> служит цели сравнительной характеристики регионов (в исследуемой совокупности) по критериям, которые имеют значение для достижения цели индустриального и инновационного развития страны и закреплены в системе национальных показателей устойчивого развития. Сра</w:t>
                  </w:r>
                  <w:r w:rsidRPr="00093B9C">
                    <w:rPr>
                      <w:color w:val="000000"/>
                      <w:sz w:val="19"/>
                      <w:szCs w:val="19"/>
                    </w:rPr>
                    <w:t>в</w:t>
                  </w:r>
                  <w:r w:rsidRPr="00093B9C">
                    <w:rPr>
                      <w:color w:val="000000"/>
                      <w:sz w:val="19"/>
                      <w:szCs w:val="19"/>
                    </w:rPr>
                    <w:t>нительная оценка позволяет сформировать обоснованные суждения о лучших практиках реги</w:t>
                  </w:r>
                  <w:r w:rsidRPr="00093B9C">
                    <w:rPr>
                      <w:color w:val="000000"/>
                      <w:sz w:val="19"/>
                      <w:szCs w:val="19"/>
                    </w:rPr>
                    <w:t>о</w:t>
                  </w:r>
                  <w:r w:rsidRPr="00093B9C">
                    <w:rPr>
                      <w:color w:val="000000"/>
                      <w:sz w:val="19"/>
                      <w:szCs w:val="19"/>
                    </w:rPr>
                    <w:t xml:space="preserve">нального управления в сфере индустриального и инновационного развития и возможностях их масштабирования в аналогичных регионах РФ. </w:t>
                  </w:r>
                </w:p>
                <w:p w:rsidR="00F332D6" w:rsidRPr="00093B9C" w:rsidRDefault="00F332D6" w:rsidP="002B7485">
                  <w:pPr>
                    <w:ind w:left="1134" w:firstLine="397"/>
                    <w:rPr>
                      <w:sz w:val="19"/>
                      <w:szCs w:val="19"/>
                    </w:rPr>
                  </w:pPr>
                  <w:proofErr w:type="gramStart"/>
                  <w:r w:rsidRPr="00093B9C">
                    <w:rPr>
                      <w:b/>
                      <w:color w:val="000000"/>
                      <w:sz w:val="19"/>
                      <w:szCs w:val="19"/>
                    </w:rPr>
                    <w:t>Ключевые слова:</w:t>
                  </w:r>
                  <w:r w:rsidRPr="00093B9C">
                    <w:rPr>
                      <w:color w:val="000000"/>
                      <w:sz w:val="19"/>
                      <w:szCs w:val="19"/>
                    </w:rPr>
                    <w:t xml:space="preserve"> </w:t>
                  </w:r>
                  <w:r w:rsidRPr="00093B9C">
                    <w:rPr>
                      <w:sz w:val="19"/>
                      <w:szCs w:val="19"/>
                    </w:rPr>
                    <w:t xml:space="preserve">региональная экономика, устойчивое развитие, </w:t>
                  </w:r>
                  <w:proofErr w:type="spellStart"/>
                  <w:r w:rsidRPr="00093B9C">
                    <w:rPr>
                      <w:sz w:val="19"/>
                      <w:szCs w:val="19"/>
                    </w:rPr>
                    <w:t>резилиентность</w:t>
                  </w:r>
                  <w:proofErr w:type="spellEnd"/>
                  <w:r w:rsidRPr="00093B9C">
                    <w:rPr>
                      <w:sz w:val="19"/>
                      <w:szCs w:val="19"/>
                    </w:rPr>
                    <w:t>, стабил</w:t>
                  </w:r>
                  <w:r w:rsidRPr="00093B9C">
                    <w:rPr>
                      <w:sz w:val="19"/>
                      <w:szCs w:val="19"/>
                    </w:rPr>
                    <w:t>ь</w:t>
                  </w:r>
                  <w:r w:rsidRPr="00093B9C">
                    <w:rPr>
                      <w:sz w:val="19"/>
                      <w:szCs w:val="19"/>
                    </w:rPr>
                    <w:t>ность, промышленность, региональная политика, инновационная политика, промышленная пол</w:t>
                  </w:r>
                  <w:r w:rsidRPr="00093B9C">
                    <w:rPr>
                      <w:sz w:val="19"/>
                      <w:szCs w:val="19"/>
                    </w:rPr>
                    <w:t>и</w:t>
                  </w:r>
                  <w:r w:rsidRPr="00093B9C">
                    <w:rPr>
                      <w:sz w:val="19"/>
                      <w:szCs w:val="19"/>
                    </w:rPr>
                    <w:t xml:space="preserve">тика, нечетко-множественное моделирование, региональная статистика. </w:t>
                  </w:r>
                  <w:proofErr w:type="gramEnd"/>
                </w:p>
                <w:p w:rsidR="00F332D6" w:rsidRPr="009A73BE" w:rsidRDefault="00F332D6" w:rsidP="00171D17">
                  <w:pPr>
                    <w:ind w:left="1134"/>
                    <w:rPr>
                      <w:sz w:val="19"/>
                      <w:szCs w:val="19"/>
                    </w:rPr>
                  </w:pPr>
                </w:p>
                <w:p w:rsidR="00F332D6" w:rsidRPr="000220F2" w:rsidRDefault="00F332D6" w:rsidP="000220F2">
                  <w:pPr>
                    <w:ind w:left="1134" w:firstLine="397"/>
                    <w:rPr>
                      <w:i/>
                      <w:color w:val="000000"/>
                      <w:sz w:val="19"/>
                      <w:szCs w:val="19"/>
                    </w:rPr>
                  </w:pPr>
                </w:p>
                <w:p w:rsidR="00F332D6" w:rsidRDefault="00F332D6" w:rsidP="00D47402">
                  <w:pPr>
                    <w:ind w:left="1134" w:firstLine="397"/>
                    <w:rPr>
                      <w:sz w:val="19"/>
                      <w:szCs w:val="19"/>
                    </w:rPr>
                  </w:pPr>
                </w:p>
                <w:p w:rsidR="00F332D6" w:rsidRDefault="00F332D6" w:rsidP="004B7FC0">
                  <w:pPr>
                    <w:ind w:left="1134" w:firstLine="397"/>
                  </w:pPr>
                </w:p>
                <w:p w:rsidR="00F332D6" w:rsidRPr="00D34DB1" w:rsidRDefault="00F332D6" w:rsidP="004B7FC0">
                  <w:pPr>
                    <w:ind w:left="1134" w:firstLine="397"/>
                  </w:pPr>
                </w:p>
              </w:txbxContent>
            </v:textbox>
            <w10:wrap type="topAndBottom" anchorx="margin" anchory="margin"/>
          </v:shape>
        </w:pict>
      </w:r>
      <w:bookmarkEnd w:id="0"/>
      <w:bookmarkEnd w:id="1"/>
      <w:r w:rsidR="002B7485" w:rsidRPr="002B7485">
        <w:rPr>
          <w:b/>
        </w:rPr>
        <w:t>Введение</w:t>
      </w:r>
    </w:p>
    <w:p w:rsidR="002B7485" w:rsidRPr="002B7485" w:rsidRDefault="002B7485" w:rsidP="002B7485">
      <w:pPr>
        <w:ind w:firstLine="397"/>
        <w:rPr>
          <w:spacing w:val="2"/>
        </w:rPr>
      </w:pPr>
      <w:r w:rsidRPr="002B7485">
        <w:rPr>
          <w:spacing w:val="2"/>
        </w:rPr>
        <w:t>Современная российская экономика характ</w:t>
      </w:r>
      <w:r w:rsidRPr="002B7485">
        <w:rPr>
          <w:spacing w:val="2"/>
        </w:rPr>
        <w:t>е</w:t>
      </w:r>
      <w:r w:rsidRPr="002B7485">
        <w:rPr>
          <w:spacing w:val="2"/>
        </w:rPr>
        <w:t>ризуется высокой ролью сырьевых отраслей, главным образом нефтегазового комплекса. Об этом свидетельствуют, в частности, показатели: доля в объеме ВВП нефтегазового сектора (около 20</w:t>
      </w:r>
      <w:r w:rsidR="00E053D3">
        <w:rPr>
          <w:spacing w:val="2"/>
        </w:rPr>
        <w:t> %</w:t>
      </w:r>
      <w:r w:rsidRPr="002B7485">
        <w:rPr>
          <w:spacing w:val="2"/>
        </w:rPr>
        <w:t xml:space="preserve"> в период 2017–2019 гг.) и доля продукции нефтегазового комплекса в структуре экспорта (55</w:t>
      </w:r>
      <w:r w:rsidR="00E053D3">
        <w:rPr>
          <w:spacing w:val="2"/>
        </w:rPr>
        <w:t> %</w:t>
      </w:r>
      <w:r w:rsidRPr="002B7485">
        <w:rPr>
          <w:spacing w:val="2"/>
        </w:rPr>
        <w:t xml:space="preserve"> в 2019 г.) [1]. Нефтегазовая отрасль имеет большое значение для национальной экономики; вместе с тем, нельзя не отметить, что специал</w:t>
      </w:r>
      <w:r w:rsidRPr="002B7485">
        <w:rPr>
          <w:spacing w:val="2"/>
        </w:rPr>
        <w:t>и</w:t>
      </w:r>
      <w:r w:rsidRPr="002B7485">
        <w:rPr>
          <w:spacing w:val="2"/>
        </w:rPr>
        <w:t>зация на отраслях первичного сектора, как прав</w:t>
      </w:r>
      <w:r w:rsidRPr="002B7485">
        <w:rPr>
          <w:spacing w:val="2"/>
        </w:rPr>
        <w:t>и</w:t>
      </w:r>
      <w:r w:rsidRPr="002B7485">
        <w:rPr>
          <w:spacing w:val="2"/>
        </w:rPr>
        <w:t>ло, редко создает предпосылки к устойчивому развитию экономики страны. Расширение стру</w:t>
      </w:r>
      <w:r w:rsidRPr="002B7485">
        <w:rPr>
          <w:spacing w:val="2"/>
        </w:rPr>
        <w:t>к</w:t>
      </w:r>
      <w:r w:rsidRPr="002B7485">
        <w:rPr>
          <w:spacing w:val="2"/>
        </w:rPr>
        <w:t>туры экономики – ее диверсификация – рассма</w:t>
      </w:r>
      <w:r w:rsidRPr="002B7485">
        <w:rPr>
          <w:spacing w:val="2"/>
        </w:rPr>
        <w:t>т</w:t>
      </w:r>
      <w:r w:rsidRPr="002B7485">
        <w:rPr>
          <w:spacing w:val="2"/>
        </w:rPr>
        <w:t xml:space="preserve">ривается многими специалистами как ключевое условие долговременного устойчивого развития экономики России [2, 3]. При этом </w:t>
      </w:r>
      <w:proofErr w:type="gramStart"/>
      <w:r w:rsidRPr="002B7485">
        <w:rPr>
          <w:spacing w:val="2"/>
        </w:rPr>
        <w:t>важное знач</w:t>
      </w:r>
      <w:r w:rsidRPr="002B7485">
        <w:rPr>
          <w:spacing w:val="2"/>
        </w:rPr>
        <w:t>е</w:t>
      </w:r>
      <w:r w:rsidRPr="002B7485">
        <w:rPr>
          <w:spacing w:val="2"/>
        </w:rPr>
        <w:t>ние</w:t>
      </w:r>
      <w:proofErr w:type="gramEnd"/>
      <w:r w:rsidRPr="002B7485">
        <w:rPr>
          <w:spacing w:val="2"/>
        </w:rPr>
        <w:t xml:space="preserve"> имеет сектор обрабатывающей индустрии. Актуальность отраслей обрабатывающей пр</w:t>
      </w:r>
      <w:r w:rsidRPr="002B7485">
        <w:rPr>
          <w:spacing w:val="2"/>
        </w:rPr>
        <w:t>о</w:t>
      </w:r>
      <w:r w:rsidRPr="002B7485">
        <w:rPr>
          <w:spacing w:val="2"/>
        </w:rPr>
        <w:t>мышленности связана с их высокой ролью в с</w:t>
      </w:r>
      <w:r w:rsidRPr="002B7485">
        <w:rPr>
          <w:spacing w:val="2"/>
        </w:rPr>
        <w:t>о</w:t>
      </w:r>
      <w:r w:rsidRPr="002B7485">
        <w:rPr>
          <w:spacing w:val="2"/>
        </w:rPr>
        <w:t>циально-экономическом развитии страны: обе</w:t>
      </w:r>
      <w:r w:rsidRPr="002B7485">
        <w:rPr>
          <w:spacing w:val="2"/>
        </w:rPr>
        <w:t>с</w:t>
      </w:r>
      <w:r w:rsidRPr="002B7485">
        <w:rPr>
          <w:spacing w:val="2"/>
        </w:rPr>
        <w:t>печении занятости; формировании материальной основы повышения уровня жизни, развития то</w:t>
      </w:r>
      <w:r w:rsidRPr="002B7485">
        <w:rPr>
          <w:spacing w:val="2"/>
        </w:rPr>
        <w:t>р</w:t>
      </w:r>
      <w:r w:rsidRPr="002B7485">
        <w:rPr>
          <w:spacing w:val="2"/>
        </w:rPr>
        <w:t>говли и сельского хозяйства; стимулировании научно-исследовательской и инновационной де</w:t>
      </w:r>
      <w:r w:rsidRPr="002B7485">
        <w:rPr>
          <w:spacing w:val="2"/>
        </w:rPr>
        <w:t>я</w:t>
      </w:r>
      <w:r w:rsidRPr="002B7485">
        <w:rPr>
          <w:spacing w:val="2"/>
        </w:rPr>
        <w:t>тельности [4]. Вместе с тем, в оценке перспектив развития промышленности развивающихся гос</w:t>
      </w:r>
      <w:r w:rsidRPr="002B7485">
        <w:rPr>
          <w:spacing w:val="2"/>
        </w:rPr>
        <w:t>у</w:t>
      </w:r>
      <w:r w:rsidRPr="002B7485">
        <w:rPr>
          <w:spacing w:val="2"/>
        </w:rPr>
        <w:t>дарств в [4] отмечается проблема нарастающего технологического неравенства при низкой диве</w:t>
      </w:r>
      <w:r w:rsidRPr="002B7485">
        <w:rPr>
          <w:spacing w:val="2"/>
        </w:rPr>
        <w:t>р</w:t>
      </w:r>
      <w:r w:rsidRPr="002B7485">
        <w:rPr>
          <w:spacing w:val="2"/>
        </w:rPr>
        <w:t>сификации промышленного сектора и преимущ</w:t>
      </w:r>
      <w:r w:rsidRPr="002B7485">
        <w:rPr>
          <w:spacing w:val="2"/>
        </w:rPr>
        <w:t>е</w:t>
      </w:r>
      <w:r w:rsidRPr="002B7485">
        <w:rPr>
          <w:spacing w:val="2"/>
        </w:rPr>
        <w:t xml:space="preserve">ственной его специализации на </w:t>
      </w:r>
      <w:proofErr w:type="spellStart"/>
      <w:r w:rsidRPr="002B7485">
        <w:rPr>
          <w:spacing w:val="2"/>
        </w:rPr>
        <w:t>экспортно</w:t>
      </w:r>
      <w:proofErr w:type="spellEnd"/>
      <w:r w:rsidRPr="002B7485">
        <w:rPr>
          <w:spacing w:val="2"/>
        </w:rPr>
        <w:t xml:space="preserve"> орие</w:t>
      </w:r>
      <w:r w:rsidRPr="002B7485">
        <w:rPr>
          <w:spacing w:val="2"/>
        </w:rPr>
        <w:t>н</w:t>
      </w:r>
      <w:r w:rsidRPr="002B7485">
        <w:rPr>
          <w:spacing w:val="2"/>
        </w:rPr>
        <w:t>тированных отраслях, главным образом, сырь</w:t>
      </w:r>
      <w:r w:rsidRPr="002B7485">
        <w:rPr>
          <w:spacing w:val="2"/>
        </w:rPr>
        <w:t>е</w:t>
      </w:r>
      <w:r w:rsidRPr="002B7485">
        <w:rPr>
          <w:spacing w:val="2"/>
        </w:rPr>
        <w:t>вых. В силу значимости проблемы индустриал</w:t>
      </w:r>
      <w:r w:rsidRPr="002B7485">
        <w:rPr>
          <w:spacing w:val="2"/>
        </w:rPr>
        <w:t>ь</w:t>
      </w:r>
      <w:r w:rsidRPr="002B7485">
        <w:rPr>
          <w:spacing w:val="2"/>
        </w:rPr>
        <w:t>ного развития государств, в Концепц</w:t>
      </w:r>
      <w:proofErr w:type="gramStart"/>
      <w:r w:rsidRPr="002B7485">
        <w:rPr>
          <w:spacing w:val="2"/>
        </w:rPr>
        <w:t>ии ОО</w:t>
      </w:r>
      <w:proofErr w:type="gramEnd"/>
      <w:r w:rsidRPr="002B7485">
        <w:rPr>
          <w:spacing w:val="2"/>
        </w:rPr>
        <w:t>Н об Устойчивом развитии сформирована цель «Со</w:t>
      </w:r>
      <w:r w:rsidRPr="002B7485">
        <w:rPr>
          <w:spacing w:val="2"/>
        </w:rPr>
        <w:t>з</w:t>
      </w:r>
      <w:r w:rsidRPr="002B7485">
        <w:rPr>
          <w:spacing w:val="2"/>
        </w:rPr>
        <w:t>дание стойкой инфраструктуры, содействие вс</w:t>
      </w:r>
      <w:r w:rsidRPr="002B7485">
        <w:rPr>
          <w:spacing w:val="2"/>
        </w:rPr>
        <w:t>е</w:t>
      </w:r>
      <w:r w:rsidRPr="002B7485">
        <w:rPr>
          <w:spacing w:val="2"/>
        </w:rPr>
        <w:t>охватной и устойчивой индустриализации и и</w:t>
      </w:r>
      <w:r w:rsidRPr="002B7485">
        <w:rPr>
          <w:spacing w:val="2"/>
        </w:rPr>
        <w:t>н</w:t>
      </w:r>
      <w:r w:rsidRPr="002B7485">
        <w:rPr>
          <w:spacing w:val="2"/>
        </w:rPr>
        <w:t>новациям», которая на уровне государств ра</w:t>
      </w:r>
      <w:r w:rsidRPr="002B7485">
        <w:rPr>
          <w:spacing w:val="2"/>
        </w:rPr>
        <w:t>с</w:t>
      </w:r>
      <w:r w:rsidRPr="002B7485">
        <w:rPr>
          <w:spacing w:val="2"/>
        </w:rPr>
        <w:t>крывается комплексом национальных показат</w:t>
      </w:r>
      <w:r w:rsidRPr="002B7485">
        <w:rPr>
          <w:spacing w:val="2"/>
        </w:rPr>
        <w:t>е</w:t>
      </w:r>
      <w:r w:rsidRPr="002B7485">
        <w:rPr>
          <w:spacing w:val="2"/>
        </w:rPr>
        <w:t>лей; состав национальных показателей достиж</w:t>
      </w:r>
      <w:r w:rsidRPr="002B7485">
        <w:rPr>
          <w:spacing w:val="2"/>
        </w:rPr>
        <w:t>е</w:t>
      </w:r>
      <w:r w:rsidRPr="002B7485">
        <w:rPr>
          <w:spacing w:val="2"/>
        </w:rPr>
        <w:t>ния ЦУР в РФ приведен на сайте Росстата [5]. Принимая во внимание принцип федеративного государственного устройства страны, можно з</w:t>
      </w:r>
      <w:r w:rsidRPr="002B7485">
        <w:rPr>
          <w:spacing w:val="2"/>
        </w:rPr>
        <w:t>а</w:t>
      </w:r>
      <w:r w:rsidRPr="002B7485">
        <w:rPr>
          <w:spacing w:val="2"/>
        </w:rPr>
        <w:t>ключить, что при оценке и анализе национальных показателей достижения ЦУР необходимо иссл</w:t>
      </w:r>
      <w:r w:rsidRPr="002B7485">
        <w:rPr>
          <w:spacing w:val="2"/>
        </w:rPr>
        <w:t>е</w:t>
      </w:r>
      <w:r w:rsidRPr="002B7485">
        <w:rPr>
          <w:spacing w:val="2"/>
        </w:rPr>
        <w:t xml:space="preserve">довать роль регионов – субъектов РФ. </w:t>
      </w:r>
    </w:p>
    <w:p w:rsidR="002B7485" w:rsidRPr="002B7485" w:rsidRDefault="002B7485" w:rsidP="002B7485">
      <w:pPr>
        <w:ind w:firstLine="397"/>
      </w:pPr>
      <w:r w:rsidRPr="002B7485">
        <w:t>Цель проведенного исследования, результаты которого представлены в статье, состояла в разр</w:t>
      </w:r>
      <w:r w:rsidRPr="002B7485">
        <w:t>а</w:t>
      </w:r>
      <w:r w:rsidRPr="002B7485">
        <w:t>ботке метода оценки региональных показателей устойчивого развития в сфере индустрии и инн</w:t>
      </w:r>
      <w:r w:rsidRPr="002B7485">
        <w:t>о</w:t>
      </w:r>
      <w:r w:rsidRPr="002B7485">
        <w:t>ваций. Разрабатываемый метод призван раскрыть в региональном аспекте национальные показатели достижения цели «Создание стойкой инфрастру</w:t>
      </w:r>
      <w:r w:rsidRPr="002B7485">
        <w:t>к</w:t>
      </w:r>
      <w:r w:rsidRPr="002B7485">
        <w:t>туры, содействие всеохватной и устойчивой инд</w:t>
      </w:r>
      <w:r w:rsidRPr="002B7485">
        <w:t>у</w:t>
      </w:r>
      <w:r w:rsidRPr="002B7485">
        <w:t>стриализации и инновациям», а также служить основанием для сравнительной характеристики регионов при исследовании государственной пр</w:t>
      </w:r>
      <w:r w:rsidRPr="002B7485">
        <w:t>о</w:t>
      </w:r>
      <w:r w:rsidRPr="002B7485">
        <w:t xml:space="preserve">мышленной и инновационной политики (на уровне субъектов РФ). </w:t>
      </w:r>
    </w:p>
    <w:p w:rsidR="002B7485" w:rsidRPr="002B7485" w:rsidRDefault="002B7485" w:rsidP="002B7485">
      <w:pPr>
        <w:widowControl w:val="0"/>
        <w:shd w:val="clear" w:color="auto" w:fill="FFFFFF"/>
        <w:ind w:firstLine="397"/>
        <w:rPr>
          <w:b/>
        </w:rPr>
      </w:pPr>
      <w:r w:rsidRPr="002B7485">
        <w:rPr>
          <w:b/>
        </w:rPr>
        <w:lastRenderedPageBreak/>
        <w:t>Теоретические основания исследования</w:t>
      </w:r>
    </w:p>
    <w:p w:rsidR="002B7485" w:rsidRPr="002B7485" w:rsidRDefault="002B7485" w:rsidP="002B7485">
      <w:pPr>
        <w:ind w:firstLine="397"/>
      </w:pPr>
      <w:r w:rsidRPr="002B7485">
        <w:t>В изучении вопросов оценки устойчивого развития национальной и региональной экономики были приняты во внимание, во-первых, общенау</w:t>
      </w:r>
      <w:r w:rsidRPr="002B7485">
        <w:t>ч</w:t>
      </w:r>
      <w:r w:rsidRPr="002B7485">
        <w:t>ный системный подход; во-вторых, подходы, сл</w:t>
      </w:r>
      <w:r w:rsidRPr="002B7485">
        <w:t>о</w:t>
      </w:r>
      <w:r w:rsidRPr="002B7485">
        <w:t xml:space="preserve">жившиеся в экономических исследованиях. </w:t>
      </w:r>
    </w:p>
    <w:p w:rsidR="002B7485" w:rsidRPr="002B7485" w:rsidRDefault="002B7485" w:rsidP="002B7485">
      <w:pPr>
        <w:ind w:firstLine="397"/>
      </w:pPr>
      <w:r w:rsidRPr="002B7485">
        <w:t>С системных научных позиций устойчивость является основным (определяющим) качеством систем; то есть системы, не обладающие устойч</w:t>
      </w:r>
      <w:r w:rsidRPr="002B7485">
        <w:t>и</w:t>
      </w:r>
      <w:r w:rsidRPr="002B7485">
        <w:t>востью, не могут существовать. При этом выдел</w:t>
      </w:r>
      <w:r w:rsidRPr="002B7485">
        <w:t>я</w:t>
      </w:r>
      <w:r w:rsidRPr="002B7485">
        <w:t>ют следующие проявления устойчивости: про</w:t>
      </w:r>
      <w:r w:rsidRPr="002B7485">
        <w:t>ч</w:t>
      </w:r>
      <w:r w:rsidRPr="002B7485">
        <w:t>ность (как стойкость к внешнему воздействию), сбалансированность, стабильность, гомеостазис [6]. В системных исследованиях понятие устойч</w:t>
      </w:r>
      <w:r w:rsidRPr="002B7485">
        <w:t>и</w:t>
      </w:r>
      <w:r w:rsidRPr="002B7485">
        <w:t>вости системы отождествляется с ее надежностью; под надежностью сложных систем при этом пон</w:t>
      </w:r>
      <w:r w:rsidRPr="002B7485">
        <w:t>и</w:t>
      </w:r>
      <w:r w:rsidRPr="002B7485">
        <w:t>мается свойство объекта сохранять во времени способность выполнять требуемые функции в з</w:t>
      </w:r>
      <w:r w:rsidRPr="002B7485">
        <w:t>а</w:t>
      </w:r>
      <w:r w:rsidRPr="002B7485">
        <w:t xml:space="preserve">данных режимах и условиях применения [6]. </w:t>
      </w:r>
    </w:p>
    <w:p w:rsidR="002B7485" w:rsidRPr="002B7485" w:rsidRDefault="002B7485" w:rsidP="002B7485">
      <w:pPr>
        <w:ind w:firstLine="397"/>
      </w:pPr>
      <w:r w:rsidRPr="002B7485">
        <w:t>Актуальные теоретические положения о с</w:t>
      </w:r>
      <w:r w:rsidRPr="002B7485">
        <w:t>о</w:t>
      </w:r>
      <w:r w:rsidRPr="002B7485">
        <w:t>держании категории «устойчивость» в экономич</w:t>
      </w:r>
      <w:r w:rsidRPr="002B7485">
        <w:t>е</w:t>
      </w:r>
      <w:r w:rsidRPr="002B7485">
        <w:t xml:space="preserve">ских исследованиях отражены в обзорных статьях </w:t>
      </w:r>
      <w:proofErr w:type="spellStart"/>
      <w:r w:rsidRPr="002B7485">
        <w:t>Гизатуллина</w:t>
      </w:r>
      <w:proofErr w:type="spellEnd"/>
      <w:r w:rsidRPr="002B7485">
        <w:t xml:space="preserve"> Х.Н., Троицкого В.А. [7], Климанова В.В. и др. [8]. Авторы отмечают, что в понимании термина «устойчивое развитие» сложились два подхода: устойчивость как </w:t>
      </w:r>
      <w:proofErr w:type="spellStart"/>
      <w:r w:rsidRPr="002B7485">
        <w:t>резилиентность</w:t>
      </w:r>
      <w:proofErr w:type="spellEnd"/>
      <w:r w:rsidRPr="002B7485">
        <w:t xml:space="preserve"> (от англ. </w:t>
      </w:r>
      <w:proofErr w:type="spellStart"/>
      <w:r w:rsidRPr="002B7485">
        <w:t>Resilience</w:t>
      </w:r>
      <w:proofErr w:type="spellEnd"/>
      <w:r w:rsidRPr="002B7485">
        <w:t xml:space="preserve">) и устойчивость как стабильность (от англ. </w:t>
      </w:r>
      <w:r w:rsidRPr="002B7485">
        <w:rPr>
          <w:lang w:val="en-US"/>
        </w:rPr>
        <w:t>S</w:t>
      </w:r>
      <w:proofErr w:type="spellStart"/>
      <w:r w:rsidRPr="002B7485">
        <w:t>ustainable</w:t>
      </w:r>
      <w:proofErr w:type="spellEnd"/>
      <w:r w:rsidRPr="002B7485">
        <w:t>). Применительно к исследов</w:t>
      </w:r>
      <w:r w:rsidRPr="002B7485">
        <w:t>а</w:t>
      </w:r>
      <w:r w:rsidRPr="002B7485">
        <w:t>нию региональной экономики понимание усто</w:t>
      </w:r>
      <w:r w:rsidRPr="002B7485">
        <w:t>й</w:t>
      </w:r>
      <w:r w:rsidRPr="002B7485">
        <w:t xml:space="preserve">чивости с позиций </w:t>
      </w:r>
      <w:proofErr w:type="spellStart"/>
      <w:r w:rsidRPr="002B7485">
        <w:rPr>
          <w:i/>
        </w:rPr>
        <w:t>резилиентности</w:t>
      </w:r>
      <w:proofErr w:type="spellEnd"/>
      <w:r w:rsidRPr="002B7485">
        <w:t xml:space="preserve"> раскрывается в работах </w:t>
      </w:r>
      <w:proofErr w:type="spellStart"/>
      <w:r w:rsidRPr="002B7485">
        <w:t>Foster</w:t>
      </w:r>
      <w:proofErr w:type="spellEnd"/>
      <w:r w:rsidRPr="002B7485">
        <w:t xml:space="preserve"> K. [9], </w:t>
      </w:r>
      <w:proofErr w:type="spellStart"/>
      <w:r w:rsidRPr="002B7485">
        <w:t>Martin</w:t>
      </w:r>
      <w:proofErr w:type="spellEnd"/>
      <w:r w:rsidRPr="002B7485">
        <w:t xml:space="preserve"> R. [10], </w:t>
      </w:r>
      <w:proofErr w:type="spellStart"/>
      <w:r w:rsidRPr="002B7485">
        <w:t>Modica</w:t>
      </w:r>
      <w:proofErr w:type="spellEnd"/>
      <w:r w:rsidRPr="002B7485">
        <w:t xml:space="preserve"> M. </w:t>
      </w:r>
      <w:r w:rsidRPr="002B7485">
        <w:rPr>
          <w:lang w:val="en-US"/>
        </w:rPr>
        <w:t>et</w:t>
      </w:r>
      <w:r w:rsidRPr="002B7485">
        <w:t xml:space="preserve"> </w:t>
      </w:r>
      <w:r w:rsidRPr="002B7485">
        <w:rPr>
          <w:lang w:val="en-US"/>
        </w:rPr>
        <w:t>al</w:t>
      </w:r>
      <w:r w:rsidRPr="002B7485">
        <w:t xml:space="preserve">. [11], </w:t>
      </w:r>
      <w:r w:rsidRPr="002B7485">
        <w:rPr>
          <w:lang w:val="en-US"/>
        </w:rPr>
        <w:t>Hill</w:t>
      </w:r>
      <w:r w:rsidRPr="002B7485">
        <w:t xml:space="preserve"> </w:t>
      </w:r>
      <w:r w:rsidRPr="002B7485">
        <w:rPr>
          <w:lang w:val="en-US"/>
        </w:rPr>
        <w:t>E</w:t>
      </w:r>
      <w:r w:rsidRPr="002B7485">
        <w:t xml:space="preserve">. </w:t>
      </w:r>
      <w:r w:rsidRPr="002B7485">
        <w:rPr>
          <w:lang w:val="en-US"/>
        </w:rPr>
        <w:t>W</w:t>
      </w:r>
      <w:r w:rsidRPr="002B7485">
        <w:t xml:space="preserve">. </w:t>
      </w:r>
      <w:r w:rsidRPr="002B7485">
        <w:rPr>
          <w:lang w:val="en-US"/>
        </w:rPr>
        <w:t>et</w:t>
      </w:r>
      <w:r w:rsidRPr="002B7485">
        <w:t xml:space="preserve"> </w:t>
      </w:r>
      <w:r w:rsidRPr="002B7485">
        <w:rPr>
          <w:lang w:val="en-US"/>
        </w:rPr>
        <w:t>al</w:t>
      </w:r>
      <w:r w:rsidRPr="002B7485">
        <w:t xml:space="preserve">. [12], </w:t>
      </w:r>
      <w:r w:rsidRPr="002B7485">
        <w:rPr>
          <w:lang w:val="en-US"/>
        </w:rPr>
        <w:t>Hudson</w:t>
      </w:r>
      <w:r w:rsidRPr="002B7485">
        <w:t xml:space="preserve"> </w:t>
      </w:r>
      <w:r w:rsidRPr="002B7485">
        <w:rPr>
          <w:lang w:val="en-US"/>
        </w:rPr>
        <w:t>R</w:t>
      </w:r>
      <w:r w:rsidRPr="002B7485">
        <w:t xml:space="preserve">. [13] и др. Понимание устойчивости как </w:t>
      </w:r>
      <w:r w:rsidRPr="002B7485">
        <w:rPr>
          <w:i/>
        </w:rPr>
        <w:t>стабильности</w:t>
      </w:r>
      <w:r w:rsidRPr="002B7485">
        <w:t xml:space="preserve"> (</w:t>
      </w:r>
      <w:r w:rsidRPr="002B7485">
        <w:rPr>
          <w:lang w:val="en-US"/>
        </w:rPr>
        <w:t>S</w:t>
      </w:r>
      <w:proofErr w:type="spellStart"/>
      <w:r w:rsidRPr="002B7485">
        <w:t>ustainable</w:t>
      </w:r>
      <w:proofErr w:type="spellEnd"/>
      <w:r w:rsidRPr="002B7485">
        <w:t>) заложено в концепции «устойчивого развития», декларированной в докладе ООН [14]: «процесс изменений, в котором масштабы эк</w:t>
      </w:r>
      <w:r w:rsidRPr="002B7485">
        <w:t>с</w:t>
      </w:r>
      <w:r w:rsidRPr="002B7485">
        <w:t>плуатации ресурсов, направление капиталовлож</w:t>
      </w:r>
      <w:r w:rsidRPr="002B7485">
        <w:t>е</w:t>
      </w:r>
      <w:r w:rsidRPr="002B7485">
        <w:t>ний, ориентация технического развития, инстит</w:t>
      </w:r>
      <w:r w:rsidRPr="002B7485">
        <w:t>у</w:t>
      </w:r>
      <w:r w:rsidRPr="002B7485">
        <w:t>циональные изменения согласуются с нынешними и будущими потребностями». Принятая ООН Концепция устойчивого развития имеет высокое политическое и экономическое значение. Научным основанием этой концепции послужили теорет</w:t>
      </w:r>
      <w:r w:rsidRPr="002B7485">
        <w:t>и</w:t>
      </w:r>
      <w:r w:rsidRPr="002B7485">
        <w:t xml:space="preserve">ческие работы Дж. </w:t>
      </w:r>
      <w:proofErr w:type="spellStart"/>
      <w:r w:rsidRPr="002B7485">
        <w:t>Форрестера</w:t>
      </w:r>
      <w:proofErr w:type="spellEnd"/>
      <w:r w:rsidRPr="002B7485">
        <w:t xml:space="preserve">, Д. </w:t>
      </w:r>
      <w:proofErr w:type="spellStart"/>
      <w:r w:rsidRPr="002B7485">
        <w:t>Медойза</w:t>
      </w:r>
      <w:proofErr w:type="spellEnd"/>
      <w:r w:rsidRPr="002B7485">
        <w:t xml:space="preserve">, </w:t>
      </w:r>
      <w:r w:rsidR="00E053D3">
        <w:br/>
      </w:r>
      <w:r w:rsidRPr="002B7485">
        <w:t xml:space="preserve">Э. Пестеля и др. </w:t>
      </w:r>
    </w:p>
    <w:p w:rsidR="002B7485" w:rsidRPr="002B7485" w:rsidRDefault="002B7485" w:rsidP="002B7485">
      <w:pPr>
        <w:ind w:firstLine="397"/>
      </w:pPr>
      <w:r w:rsidRPr="002B7485">
        <w:t>В работах, посвященных вопросам устойч</w:t>
      </w:r>
      <w:r w:rsidRPr="002B7485">
        <w:t>и</w:t>
      </w:r>
      <w:r w:rsidRPr="002B7485">
        <w:t>вого развития (</w:t>
      </w:r>
      <w:r w:rsidRPr="002B7485">
        <w:rPr>
          <w:lang w:val="en-US"/>
        </w:rPr>
        <w:t>S</w:t>
      </w:r>
      <w:proofErr w:type="spellStart"/>
      <w:r w:rsidRPr="002B7485">
        <w:t>ustainable</w:t>
      </w:r>
      <w:proofErr w:type="spellEnd"/>
      <w:r w:rsidRPr="002B7485">
        <w:t xml:space="preserve"> </w:t>
      </w:r>
      <w:r w:rsidRPr="002B7485">
        <w:rPr>
          <w:lang w:val="en-US"/>
        </w:rPr>
        <w:t>Development</w:t>
      </w:r>
      <w:r w:rsidR="00A80DF4" w:rsidRPr="00A80DF4">
        <w:t xml:space="preserve"> </w:t>
      </w:r>
      <w:r w:rsidR="00A80DF4" w:rsidRPr="00707825">
        <w:t>(</w:t>
      </w:r>
      <w:proofErr w:type="spellStart"/>
      <w:r w:rsidR="00A80DF4" w:rsidRPr="00707825">
        <w:t>SD</w:t>
      </w:r>
      <w:proofErr w:type="spellEnd"/>
      <w:r w:rsidR="00A80DF4" w:rsidRPr="00707825">
        <w:t>)</w:t>
      </w:r>
      <w:r w:rsidRPr="00707825">
        <w:t>),</w:t>
      </w:r>
      <w:r w:rsidRPr="002B7485">
        <w:t xml:space="preserve"> м</w:t>
      </w:r>
      <w:r w:rsidRPr="002B7485">
        <w:t>а</w:t>
      </w:r>
      <w:r w:rsidRPr="002B7485">
        <w:t>тематическими средствами и эвристически обо</w:t>
      </w:r>
      <w:r w:rsidRPr="002B7485">
        <w:t>с</w:t>
      </w:r>
      <w:r w:rsidRPr="002B7485">
        <w:t>новывается необходимость перехода от госпо</w:t>
      </w:r>
      <w:r w:rsidRPr="002B7485">
        <w:t>д</w:t>
      </w:r>
      <w:r w:rsidRPr="002B7485">
        <w:t>ствовавшей в экономической науке парадигмы количественного роста к новой парадигме, постр</w:t>
      </w:r>
      <w:r w:rsidRPr="002B7485">
        <w:t>о</w:t>
      </w:r>
      <w:r w:rsidRPr="002B7485">
        <w:t>енной на условиях устойчивого равновесия, пр</w:t>
      </w:r>
      <w:r w:rsidRPr="002B7485">
        <w:t>и</w:t>
      </w:r>
      <w:r w:rsidRPr="002B7485">
        <w:t>родных ограничений, эффективного и справедл</w:t>
      </w:r>
      <w:r w:rsidRPr="002B7485">
        <w:t>и</w:t>
      </w:r>
      <w:r w:rsidRPr="002B7485">
        <w:t>вого распределения ресурсов, социальной и кул</w:t>
      </w:r>
      <w:r w:rsidRPr="002B7485">
        <w:t>ь</w:t>
      </w:r>
      <w:r w:rsidRPr="002B7485">
        <w:t xml:space="preserve">турной стабильности и проч. </w:t>
      </w:r>
    </w:p>
    <w:p w:rsidR="002B7485" w:rsidRPr="002B7485" w:rsidRDefault="002B7485" w:rsidP="002B7485">
      <w:pPr>
        <w:ind w:firstLine="397"/>
      </w:pPr>
      <w:r w:rsidRPr="002B7485">
        <w:t>Научные исследования по проблемам усто</w:t>
      </w:r>
      <w:r w:rsidRPr="002B7485">
        <w:t>й</w:t>
      </w:r>
      <w:r w:rsidRPr="002B7485">
        <w:t>чивого развития сохраняют свою актуальность и к настоящему времени. В работах [7, 8, 15] отмеч</w:t>
      </w:r>
      <w:r w:rsidRPr="002B7485">
        <w:t>а</w:t>
      </w:r>
      <w:r w:rsidRPr="002B7485">
        <w:t xml:space="preserve">ется, что до сих пор не нашли исчерпывающего </w:t>
      </w:r>
      <w:r w:rsidRPr="002B7485">
        <w:lastRenderedPageBreak/>
        <w:t>решения важные аспекты этой концепции – от с</w:t>
      </w:r>
      <w:r w:rsidRPr="002B7485">
        <w:t>о</w:t>
      </w:r>
      <w:r w:rsidRPr="002B7485">
        <w:t>держания самого термина «устойчивое развитие» до способов измерения и оценки уровня устойч</w:t>
      </w:r>
      <w:r w:rsidRPr="002B7485">
        <w:t>и</w:t>
      </w:r>
      <w:r w:rsidRPr="002B7485">
        <w:t>вости макр</w:t>
      </w:r>
      <w:proofErr w:type="gramStart"/>
      <w:r w:rsidRPr="002B7485">
        <w:t>о-</w:t>
      </w:r>
      <w:proofErr w:type="gramEnd"/>
      <w:r w:rsidRPr="002B7485">
        <w:t xml:space="preserve"> и </w:t>
      </w:r>
      <w:proofErr w:type="spellStart"/>
      <w:r w:rsidRPr="002B7485">
        <w:t>мезоэкономических</w:t>
      </w:r>
      <w:proofErr w:type="spellEnd"/>
      <w:r w:rsidRPr="002B7485">
        <w:t xml:space="preserve"> систем [15]. Концепция ООН об устойчивом развитии опред</w:t>
      </w:r>
      <w:r w:rsidRPr="002B7485">
        <w:t>е</w:t>
      </w:r>
      <w:r w:rsidRPr="002B7485">
        <w:t xml:space="preserve">ляет состав целей устойчивого </w:t>
      </w:r>
      <w:r w:rsidRPr="00707825">
        <w:t>развития</w:t>
      </w:r>
      <w:r w:rsidR="00F332D6" w:rsidRPr="00707825">
        <w:t xml:space="preserve"> (ЦУР)</w:t>
      </w:r>
      <w:r w:rsidRPr="00707825">
        <w:t xml:space="preserve">, а также устанавливает обязательство государств </w:t>
      </w:r>
      <w:r w:rsidR="00F332D6" w:rsidRPr="00707825">
        <w:t xml:space="preserve">о </w:t>
      </w:r>
      <w:r w:rsidRPr="00707825">
        <w:t>мониторинг</w:t>
      </w:r>
      <w:r w:rsidR="00F332D6" w:rsidRPr="00707825">
        <w:t>е</w:t>
      </w:r>
      <w:r w:rsidR="00707825" w:rsidRPr="00707825">
        <w:t xml:space="preserve"> достижения </w:t>
      </w:r>
      <w:proofErr w:type="spellStart"/>
      <w:r w:rsidR="00707825" w:rsidRPr="00707825">
        <w:t>ЦУР</w:t>
      </w:r>
      <w:proofErr w:type="spellEnd"/>
      <w:r w:rsidRPr="00707825">
        <w:t>. В соответствии</w:t>
      </w:r>
      <w:r w:rsidRPr="002B7485">
        <w:t xml:space="preserve"> с этими положениями в РФ разработан комплекс показателей [5], призванный отражать достижение ЦУР на национальном уровне. Оценка этих пок</w:t>
      </w:r>
      <w:r w:rsidRPr="002B7485">
        <w:t>а</w:t>
      </w:r>
      <w:r w:rsidRPr="002B7485">
        <w:t>зателей становится возможной при условии их декомпозиции в региональном аспекте; это ставит задачи измерения показателей устойчивого разв</w:t>
      </w:r>
      <w:r w:rsidRPr="002B7485">
        <w:t>и</w:t>
      </w:r>
      <w:r w:rsidRPr="002B7485">
        <w:t>тия на уровне регионов (в контексте сложившейся системы государственной региональной статист</w:t>
      </w:r>
      <w:r w:rsidRPr="002B7485">
        <w:t>и</w:t>
      </w:r>
      <w:r w:rsidRPr="002B7485">
        <w:t>ки) и комплексной характеристики и оценки уро</w:t>
      </w:r>
      <w:r w:rsidRPr="002B7485">
        <w:t>в</w:t>
      </w:r>
      <w:r w:rsidRPr="002B7485">
        <w:t>ня устойчивого развития в регионе.</w:t>
      </w:r>
    </w:p>
    <w:p w:rsidR="002B7485" w:rsidRPr="002B7485" w:rsidRDefault="002B7485" w:rsidP="002B7485">
      <w:pPr>
        <w:pStyle w:val="11"/>
        <w:keepNext w:val="0"/>
        <w:pageBreakBefore w:val="0"/>
        <w:ind w:firstLine="397"/>
        <w:jc w:val="both"/>
        <w:rPr>
          <w:rFonts w:ascii="Times New Roman" w:hAnsi="Times New Roman" w:cs="Times New Roman"/>
          <w:i w:val="0"/>
          <w:szCs w:val="20"/>
        </w:rPr>
      </w:pPr>
      <w:r w:rsidRPr="002B7485">
        <w:rPr>
          <w:rFonts w:ascii="Times New Roman" w:hAnsi="Times New Roman" w:cs="Times New Roman"/>
          <w:i w:val="0"/>
          <w:szCs w:val="20"/>
        </w:rPr>
        <w:t>Используемые методы и основные полож</w:t>
      </w:r>
      <w:r w:rsidRPr="002B7485">
        <w:rPr>
          <w:rFonts w:ascii="Times New Roman" w:hAnsi="Times New Roman" w:cs="Times New Roman"/>
          <w:i w:val="0"/>
          <w:szCs w:val="20"/>
        </w:rPr>
        <w:t>е</w:t>
      </w:r>
      <w:r w:rsidRPr="002B7485">
        <w:rPr>
          <w:rFonts w:ascii="Times New Roman" w:hAnsi="Times New Roman" w:cs="Times New Roman"/>
          <w:i w:val="0"/>
          <w:szCs w:val="20"/>
        </w:rPr>
        <w:t>ния методики исследования</w:t>
      </w:r>
    </w:p>
    <w:p w:rsidR="002B7485" w:rsidRPr="002B7485" w:rsidRDefault="002B7485" w:rsidP="002B7485">
      <w:pPr>
        <w:ind w:firstLine="397"/>
      </w:pPr>
      <w:r w:rsidRPr="002B7485">
        <w:t xml:space="preserve">В </w:t>
      </w:r>
      <w:proofErr w:type="gramStart"/>
      <w:r w:rsidRPr="002B7485">
        <w:t>исследовании</w:t>
      </w:r>
      <w:proofErr w:type="gramEnd"/>
      <w:r w:rsidRPr="002B7485">
        <w:t xml:space="preserve"> были задействованы общен</w:t>
      </w:r>
      <w:r w:rsidRPr="002B7485">
        <w:t>а</w:t>
      </w:r>
      <w:r w:rsidRPr="002B7485">
        <w:t>учные методические подходы анализа и синтеза. Аналитический подход состоял в предпосылке о возможности структурированной детализации н</w:t>
      </w:r>
      <w:r w:rsidRPr="002B7485">
        <w:t>а</w:t>
      </w:r>
      <w:r w:rsidRPr="002B7485">
        <w:t>циональных показателей достижения ЦУР на р</w:t>
      </w:r>
      <w:r w:rsidRPr="002B7485">
        <w:t>е</w:t>
      </w:r>
      <w:r w:rsidRPr="002B7485">
        <w:t>гиональном уровне государственной статистики. Синтетическая часть исследования направлена на формирование интегрального показателя, отр</w:t>
      </w:r>
      <w:r w:rsidRPr="002B7485">
        <w:t>а</w:t>
      </w:r>
      <w:r w:rsidRPr="002B7485">
        <w:t>жающего меру достижения цели «Создание сто</w:t>
      </w:r>
      <w:r w:rsidRPr="002B7485">
        <w:t>й</w:t>
      </w:r>
      <w:r w:rsidRPr="002B7485">
        <w:t>кой инфраструктуры, содействие всеохватной и устойчивой индустриализации и инновациям» в регионах (</w:t>
      </w:r>
      <w:proofErr w:type="spellStart"/>
      <w:r w:rsidRPr="002B7485">
        <w:rPr>
          <w:lang w:val="en-US"/>
        </w:rPr>
        <w:t>SD</w:t>
      </w:r>
      <w:r w:rsidRPr="002B7485">
        <w:rPr>
          <w:vertAlign w:val="subscript"/>
          <w:lang w:val="en-US"/>
        </w:rPr>
        <w:t>ind</w:t>
      </w:r>
      <w:proofErr w:type="spellEnd"/>
      <w:r w:rsidRPr="002B7485">
        <w:rPr>
          <w:vertAlign w:val="subscript"/>
        </w:rPr>
        <w:t>(9)</w:t>
      </w:r>
      <w:r w:rsidRPr="002B7485">
        <w:t xml:space="preserve">). </w:t>
      </w:r>
    </w:p>
    <w:p w:rsidR="002B7485" w:rsidRPr="002B7485" w:rsidRDefault="002B7485" w:rsidP="002B7485">
      <w:pPr>
        <w:ind w:firstLine="397"/>
      </w:pPr>
      <w:proofErr w:type="gramStart"/>
      <w:r w:rsidRPr="002B7485">
        <w:t>В соответствии с данными положениями в рамках исследования были поставлены две мет</w:t>
      </w:r>
      <w:r w:rsidRPr="002B7485">
        <w:t>о</w:t>
      </w:r>
      <w:r w:rsidRPr="002B7485">
        <w:t>дически значимые задачи: 1) сформировать состав показателей, характеризующих уровень устойч</w:t>
      </w:r>
      <w:r w:rsidRPr="002B7485">
        <w:t>и</w:t>
      </w:r>
      <w:r w:rsidRPr="002B7485">
        <w:t>вого развития регионов в сфере индустрии и инн</w:t>
      </w:r>
      <w:r w:rsidRPr="002B7485">
        <w:t>о</w:t>
      </w:r>
      <w:r w:rsidRPr="002B7485">
        <w:t>ваций; состав этих показателей должен соответс</w:t>
      </w:r>
      <w:r w:rsidRPr="002B7485">
        <w:t>т</w:t>
      </w:r>
      <w:r w:rsidRPr="002B7485">
        <w:t xml:space="preserve">вовать национальным показателям </w:t>
      </w:r>
      <w:proofErr w:type="spellStart"/>
      <w:r w:rsidRPr="002B7485">
        <w:t>ЦУР</w:t>
      </w:r>
      <w:proofErr w:type="spellEnd"/>
      <w:r w:rsidRPr="002B7485">
        <w:t xml:space="preserve"> и быть измеримыми в существующей системе государс</w:t>
      </w:r>
      <w:r w:rsidRPr="002B7485">
        <w:t>т</w:t>
      </w:r>
      <w:r w:rsidRPr="002B7485">
        <w:t>венной региональной статистики; 2) сформировать приемлемый метод оценки интегрального показ</w:t>
      </w:r>
      <w:r w:rsidRPr="002B7485">
        <w:t>а</w:t>
      </w:r>
      <w:r w:rsidRPr="002B7485">
        <w:t xml:space="preserve">теля </w:t>
      </w:r>
      <w:proofErr w:type="spellStart"/>
      <w:r w:rsidRPr="002B7485">
        <w:rPr>
          <w:lang w:val="en-US"/>
        </w:rPr>
        <w:t>SD</w:t>
      </w:r>
      <w:r w:rsidRPr="002B7485">
        <w:rPr>
          <w:vertAlign w:val="subscript"/>
          <w:lang w:val="en-US"/>
        </w:rPr>
        <w:t>ind</w:t>
      </w:r>
      <w:proofErr w:type="spellEnd"/>
      <w:r w:rsidRPr="002B7485">
        <w:rPr>
          <w:vertAlign w:val="subscript"/>
        </w:rPr>
        <w:t>(9)</w:t>
      </w:r>
      <w:r w:rsidRPr="002B7485">
        <w:t>.</w:t>
      </w:r>
      <w:proofErr w:type="gramEnd"/>
    </w:p>
    <w:p w:rsidR="002B7485" w:rsidRPr="002B7485" w:rsidRDefault="002B7485" w:rsidP="002B7485">
      <w:pPr>
        <w:ind w:firstLine="397"/>
      </w:pPr>
      <w:r w:rsidRPr="002B7485">
        <w:t>В решении первой задачи методическим о</w:t>
      </w:r>
      <w:r w:rsidRPr="002B7485">
        <w:t>с</w:t>
      </w:r>
      <w:r w:rsidRPr="002B7485">
        <w:t>нованием послужила методология государстве</w:t>
      </w:r>
      <w:r w:rsidRPr="002B7485">
        <w:t>н</w:t>
      </w:r>
      <w:r w:rsidRPr="002B7485">
        <w:t>ной региональной статистики, определяющая во</w:t>
      </w:r>
      <w:r w:rsidRPr="002B7485">
        <w:t>з</w:t>
      </w:r>
      <w:r w:rsidRPr="002B7485">
        <w:t>можность декомпозиции национальных показат</w:t>
      </w:r>
      <w:r w:rsidRPr="002B7485">
        <w:t>е</w:t>
      </w:r>
      <w:r w:rsidRPr="002B7485">
        <w:t>лей ЦУР в комплекс соответствующих регионал</w:t>
      </w:r>
      <w:r w:rsidRPr="002B7485">
        <w:t>ь</w:t>
      </w:r>
      <w:r w:rsidRPr="002B7485">
        <w:t xml:space="preserve">ных показателей, представленных в [16]. </w:t>
      </w:r>
    </w:p>
    <w:p w:rsidR="002B7485" w:rsidRPr="002B7485" w:rsidRDefault="002B7485" w:rsidP="002B7485">
      <w:pPr>
        <w:ind w:firstLine="397"/>
      </w:pPr>
      <w:r w:rsidRPr="002B7485">
        <w:t xml:space="preserve">Для формирования интегрального показателя </w:t>
      </w:r>
      <w:proofErr w:type="spellStart"/>
      <w:r w:rsidRPr="002B7485">
        <w:rPr>
          <w:lang w:val="en-US"/>
        </w:rPr>
        <w:t>SD</w:t>
      </w:r>
      <w:r w:rsidRPr="002B7485">
        <w:rPr>
          <w:vertAlign w:val="subscript"/>
          <w:lang w:val="en-US"/>
        </w:rPr>
        <w:t>ind</w:t>
      </w:r>
      <w:proofErr w:type="spellEnd"/>
      <w:r w:rsidRPr="002B7485">
        <w:rPr>
          <w:vertAlign w:val="subscript"/>
        </w:rPr>
        <w:t>(9)</w:t>
      </w:r>
      <w:r w:rsidRPr="002B7485">
        <w:t xml:space="preserve"> была изучена возможность использования различных </w:t>
      </w:r>
      <w:proofErr w:type="gramStart"/>
      <w:r w:rsidRPr="002B7485">
        <w:t>методов</w:t>
      </w:r>
      <w:proofErr w:type="gramEnd"/>
      <w:r w:rsidRPr="002B7485">
        <w:t xml:space="preserve"> свертки частных критериев; предложено проводить оценку </w:t>
      </w:r>
      <w:proofErr w:type="spellStart"/>
      <w:r w:rsidRPr="002B7485">
        <w:rPr>
          <w:lang w:val="en-US"/>
        </w:rPr>
        <w:t>SD</w:t>
      </w:r>
      <w:r w:rsidRPr="002B7485">
        <w:rPr>
          <w:vertAlign w:val="subscript"/>
          <w:lang w:val="en-US"/>
        </w:rPr>
        <w:t>ind</w:t>
      </w:r>
      <w:proofErr w:type="spellEnd"/>
      <w:r w:rsidRPr="002B7485">
        <w:rPr>
          <w:vertAlign w:val="subscript"/>
        </w:rPr>
        <w:t xml:space="preserve">(9) </w:t>
      </w:r>
      <w:r w:rsidRPr="002B7485">
        <w:t xml:space="preserve">на основе нечеткого логического вывода (НЛВ). Процедура </w:t>
      </w:r>
      <w:proofErr w:type="spellStart"/>
      <w:r w:rsidRPr="002B7485">
        <w:t>НЛВ</w:t>
      </w:r>
      <w:proofErr w:type="spellEnd"/>
      <w:r w:rsidRPr="002B7485">
        <w:t xml:space="preserve"> позволяет в этом случае составить оценку интегрального показателя </w:t>
      </w:r>
      <w:proofErr w:type="spellStart"/>
      <w:r w:rsidRPr="002B7485">
        <w:rPr>
          <w:lang w:val="en-US"/>
        </w:rPr>
        <w:t>SD</w:t>
      </w:r>
      <w:r w:rsidRPr="002B7485">
        <w:rPr>
          <w:vertAlign w:val="subscript"/>
          <w:lang w:val="en-US"/>
        </w:rPr>
        <w:t>ind</w:t>
      </w:r>
      <w:proofErr w:type="spellEnd"/>
      <w:r w:rsidRPr="002B7485">
        <w:rPr>
          <w:vertAlign w:val="subscript"/>
        </w:rPr>
        <w:t>(9)</w:t>
      </w:r>
      <w:r w:rsidRPr="002B7485">
        <w:t xml:space="preserve"> на основании значений частных индикаторов, сложившихся в исследуемой совокупности регионов, а также с учетом представлений об актуальных ограничен</w:t>
      </w:r>
      <w:r w:rsidRPr="002B7485">
        <w:t>и</w:t>
      </w:r>
      <w:r w:rsidRPr="002B7485">
        <w:lastRenderedPageBreak/>
        <w:t xml:space="preserve">ях региональных экономик и о степени значимости каждого из частных индикаторов [17, 18]. Оценка интегрального показателя </w:t>
      </w:r>
      <w:proofErr w:type="spellStart"/>
      <w:r w:rsidRPr="002B7485">
        <w:rPr>
          <w:lang w:val="en-US"/>
        </w:rPr>
        <w:t>SD</w:t>
      </w:r>
      <w:r w:rsidRPr="002B7485">
        <w:rPr>
          <w:vertAlign w:val="subscript"/>
          <w:lang w:val="en-US"/>
        </w:rPr>
        <w:t>ind</w:t>
      </w:r>
      <w:proofErr w:type="spellEnd"/>
      <w:r w:rsidRPr="002B7485">
        <w:rPr>
          <w:vertAlign w:val="subscript"/>
        </w:rPr>
        <w:t>(9)</w:t>
      </w:r>
      <w:r w:rsidRPr="002B7485">
        <w:t>, проводимая на основе процедуры НЛВ, выполняется в форме з</w:t>
      </w:r>
      <w:r w:rsidRPr="002B7485">
        <w:t>а</w:t>
      </w:r>
      <w:r w:rsidRPr="002B7485">
        <w:t xml:space="preserve">дачи измерения, т. е. предполагает численную форму ответа о мере предпочтительности каждого объекта исследуемой совокупности в задаваемой шкале отношений. </w:t>
      </w:r>
    </w:p>
    <w:p w:rsidR="002B7485" w:rsidRPr="002B7485" w:rsidRDefault="002B7485" w:rsidP="002B7485">
      <w:pPr>
        <w:ind w:firstLine="397"/>
      </w:pPr>
      <w:r w:rsidRPr="002B7485">
        <w:t xml:space="preserve">Процедура НЛВ реализована на основании алгоритма </w:t>
      </w:r>
      <w:proofErr w:type="spellStart"/>
      <w:r w:rsidRPr="002B7485">
        <w:t>Мамдани</w:t>
      </w:r>
      <w:proofErr w:type="spellEnd"/>
      <w:r w:rsidRPr="002B7485">
        <w:t>, адаптированного к специф</w:t>
      </w:r>
      <w:r w:rsidRPr="002B7485">
        <w:t>и</w:t>
      </w:r>
      <w:r w:rsidRPr="002B7485">
        <w:t xml:space="preserve">ке исследования. </w:t>
      </w:r>
    </w:p>
    <w:p w:rsidR="002B7485" w:rsidRPr="002B7485" w:rsidRDefault="002B7485" w:rsidP="002B7485">
      <w:pPr>
        <w:ind w:firstLine="397"/>
      </w:pPr>
      <w:r w:rsidRPr="002B7485">
        <w:t xml:space="preserve">Содержание алгоритма </w:t>
      </w:r>
      <w:proofErr w:type="spellStart"/>
      <w:r w:rsidRPr="002B7485">
        <w:t>НЛВ</w:t>
      </w:r>
      <w:proofErr w:type="spellEnd"/>
      <w:r w:rsidRPr="002B7485">
        <w:t xml:space="preserve"> в оценке </w:t>
      </w:r>
      <w:proofErr w:type="spellStart"/>
      <w:r w:rsidRPr="002B7485">
        <w:rPr>
          <w:lang w:val="en-US"/>
        </w:rPr>
        <w:t>SD</w:t>
      </w:r>
      <w:r w:rsidRPr="002B7485">
        <w:rPr>
          <w:vertAlign w:val="subscript"/>
          <w:lang w:val="en-US"/>
        </w:rPr>
        <w:t>ind</w:t>
      </w:r>
      <w:proofErr w:type="spellEnd"/>
      <w:r w:rsidRPr="002B7485">
        <w:rPr>
          <w:vertAlign w:val="subscript"/>
        </w:rPr>
        <w:t>(9)</w:t>
      </w:r>
      <w:r w:rsidRPr="002B7485">
        <w:t xml:space="preserve"> раскрывается следующими основными полож</w:t>
      </w:r>
      <w:r w:rsidRPr="002B7485">
        <w:t>е</w:t>
      </w:r>
      <w:r w:rsidRPr="002B7485">
        <w:t>ниями.</w:t>
      </w:r>
    </w:p>
    <w:p w:rsidR="002B7485" w:rsidRPr="002B7485" w:rsidRDefault="002B7485" w:rsidP="002B7485">
      <w:pPr>
        <w:ind w:firstLine="397"/>
      </w:pPr>
      <w:r w:rsidRPr="002B7485">
        <w:t xml:space="preserve">1. Задание вектора входных переменных </w:t>
      </w:r>
      <m:oMath>
        <m:acc>
          <m:accPr>
            <m:chr m:val="̅"/>
            <m:ctrlPr>
              <w:rPr>
                <w:rFonts w:ascii="Cambria Math" w:hAnsi="Cambria Math"/>
                <w:i/>
              </w:rPr>
            </m:ctrlPr>
          </m:accPr>
          <m:e>
            <m:r>
              <w:rPr>
                <w:rFonts w:ascii="Cambria Math" w:hAnsi="Cambria Math"/>
              </w:rPr>
              <m:t>x</m:t>
            </m:r>
          </m:e>
        </m:acc>
        <m:r>
          <w:rPr>
            <w:rFonts w:ascii="Cambria Math"/>
          </w:rPr>
          <m:t>=</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T</m:t>
            </m:r>
          </m:sup>
        </m:sSup>
      </m:oMath>
      <w:r w:rsidRPr="002B7485">
        <w:rPr>
          <w:rFonts w:eastAsiaTheme="minorEastAsia"/>
        </w:rPr>
        <w:t xml:space="preserve">, где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2B7485">
        <w:rPr>
          <w:rFonts w:eastAsiaTheme="minorEastAsia"/>
        </w:rPr>
        <w:t xml:space="preserve"> – частные </w:t>
      </w:r>
      <w:r w:rsidRPr="002B7485">
        <w:t>показатели устойчивого развития (для цели 9 «Создание стойкой инфр</w:t>
      </w:r>
      <w:r w:rsidRPr="002B7485">
        <w:t>а</w:t>
      </w:r>
      <w:r w:rsidRPr="002B7485">
        <w:t>структуры, содействие всеохватной и устойчивой индустриализации и инновациям»), формируемые на уровне региона. Выполнение этого этапа треб</w:t>
      </w:r>
      <w:r w:rsidRPr="002B7485">
        <w:t>у</w:t>
      </w:r>
      <w:r w:rsidRPr="002B7485">
        <w:t xml:space="preserve">ет решения задачи формирования состава частных показателей устойчивого развития, </w:t>
      </w:r>
      <w:proofErr w:type="gramStart"/>
      <w:r w:rsidRPr="002B7485">
        <w:t>который</w:t>
      </w:r>
      <w:proofErr w:type="gramEnd"/>
      <w:r w:rsidRPr="002B7485">
        <w:t xml:space="preserve"> ра</w:t>
      </w:r>
      <w:r w:rsidRPr="002B7485">
        <w:t>с</w:t>
      </w:r>
      <w:r w:rsidRPr="002B7485">
        <w:t>крывает содержание национальных показателей SD в рамках существующей системы государс</w:t>
      </w:r>
      <w:r w:rsidRPr="002B7485">
        <w:t>т</w:t>
      </w:r>
      <w:r w:rsidRPr="002B7485">
        <w:t xml:space="preserve">венной статистики в регионах. </w:t>
      </w:r>
    </w:p>
    <w:p w:rsidR="002B7485" w:rsidRPr="002B7485" w:rsidRDefault="002B7485" w:rsidP="002B7485">
      <w:pPr>
        <w:ind w:firstLine="397"/>
        <w:rPr>
          <w:spacing w:val="-2"/>
        </w:rPr>
      </w:pPr>
      <w:r w:rsidRPr="002B7485">
        <w:rPr>
          <w:spacing w:val="-2"/>
        </w:rPr>
        <w:t>2. Задание параметров входных переменных (в форме лингвистических переменных (ЛП)) – п</w:t>
      </w:r>
      <w:r w:rsidRPr="002B7485">
        <w:rPr>
          <w:spacing w:val="-2"/>
        </w:rPr>
        <w:t>о</w:t>
      </w:r>
      <w:r w:rsidRPr="002B7485">
        <w:rPr>
          <w:spacing w:val="-2"/>
        </w:rPr>
        <w:t xml:space="preserve">средством кортежа: </w:t>
      </w:r>
      <m:oMath>
        <m:d>
          <m:dPr>
            <m:begChr m:val="〈"/>
            <m:endChr m:val="〉"/>
            <m:ctrlPr>
              <w:rPr>
                <w:rFonts w:ascii="Cambria Math" w:hAnsi="Cambria Math"/>
                <w:i/>
                <w:spacing w:val="-2"/>
              </w:rPr>
            </m:ctrlPr>
          </m:dPr>
          <m:e>
            <m:r>
              <w:rPr>
                <w:rFonts w:ascii="Cambria Math" w:hAnsi="Cambria Math"/>
                <w:spacing w:val="-2"/>
              </w:rPr>
              <m:t>γ</m:t>
            </m:r>
            <m:r>
              <w:rPr>
                <w:rFonts w:ascii="Cambria Math"/>
                <w:spacing w:val="-2"/>
              </w:rPr>
              <m:t xml:space="preserve">, </m:t>
            </m:r>
            <m:r>
              <w:rPr>
                <w:rFonts w:ascii="Cambria Math" w:hAnsi="Cambria Math"/>
                <w:spacing w:val="-2"/>
                <w:lang w:val="en-US"/>
              </w:rPr>
              <m:t>T</m:t>
            </m:r>
            <m:d>
              <m:dPr>
                <m:ctrlPr>
                  <w:rPr>
                    <w:rFonts w:ascii="Cambria Math" w:hAnsi="Cambria Math"/>
                    <w:i/>
                    <w:spacing w:val="-2"/>
                    <w:lang w:val="en-US"/>
                  </w:rPr>
                </m:ctrlPr>
              </m:dPr>
              <m:e>
                <m:r>
                  <w:rPr>
                    <w:rFonts w:ascii="Cambria Math" w:hAnsi="Cambria Math"/>
                    <w:spacing w:val="-2"/>
                    <w:lang w:val="en-US"/>
                  </w:rPr>
                  <m:t>γ</m:t>
                </m:r>
              </m:e>
            </m:d>
            <m:r>
              <w:rPr>
                <w:rFonts w:ascii="Cambria Math"/>
                <w:spacing w:val="-2"/>
              </w:rPr>
              <m:t>,</m:t>
            </m:r>
            <m:r>
              <w:rPr>
                <w:rFonts w:ascii="Cambria Math" w:hAnsi="Cambria Math"/>
                <w:spacing w:val="-2"/>
                <w:lang w:val="en-US"/>
              </w:rPr>
              <m:t>U</m:t>
            </m:r>
            <m:r>
              <w:rPr>
                <w:rFonts w:ascii="Cambria Math"/>
                <w:spacing w:val="-2"/>
              </w:rPr>
              <m:t>,</m:t>
            </m:r>
            <m:r>
              <w:rPr>
                <w:rFonts w:ascii="Cambria Math" w:hAnsi="Cambria Math"/>
                <w:spacing w:val="-2"/>
                <w:lang w:val="en-US"/>
              </w:rPr>
              <m:t>G</m:t>
            </m:r>
            <m:r>
              <w:rPr>
                <w:rFonts w:ascii="Cambria Math"/>
                <w:spacing w:val="-2"/>
              </w:rPr>
              <m:t>,</m:t>
            </m:r>
            <m:r>
              <w:rPr>
                <w:rFonts w:ascii="Cambria Math" w:hAnsi="Cambria Math"/>
                <w:spacing w:val="-2"/>
                <w:lang w:val="en-US"/>
              </w:rPr>
              <m:t>M</m:t>
            </m:r>
          </m:e>
        </m:d>
      </m:oMath>
      <w:r w:rsidRPr="002B7485">
        <w:rPr>
          <w:rFonts w:eastAsiaTheme="minorEastAsia"/>
          <w:spacing w:val="-2"/>
        </w:rPr>
        <w:t xml:space="preserve">, где </w:t>
      </w:r>
      <m:oMath>
        <m:r>
          <w:rPr>
            <w:rFonts w:ascii="Cambria Math" w:hAnsi="Cambria Math"/>
            <w:spacing w:val="-2"/>
          </w:rPr>
          <m:t>γ</m:t>
        </m:r>
      </m:oMath>
      <w:r w:rsidRPr="002B7485">
        <w:rPr>
          <w:rFonts w:eastAsiaTheme="minorEastAsia"/>
          <w:spacing w:val="-2"/>
        </w:rPr>
        <w:t xml:space="preserve"> – н</w:t>
      </w:r>
      <w:r w:rsidRPr="002B7485">
        <w:rPr>
          <w:rFonts w:eastAsiaTheme="minorEastAsia"/>
          <w:spacing w:val="-2"/>
        </w:rPr>
        <w:t>а</w:t>
      </w:r>
      <w:r w:rsidRPr="002B7485">
        <w:rPr>
          <w:rFonts w:eastAsiaTheme="minorEastAsia"/>
          <w:spacing w:val="-2"/>
        </w:rPr>
        <w:t xml:space="preserve">именование ЛП, </w:t>
      </w:r>
      <m:oMath>
        <m:r>
          <w:rPr>
            <w:rFonts w:ascii="Cambria Math" w:hAnsi="Cambria Math"/>
            <w:spacing w:val="-2"/>
            <w:lang w:val="en-US"/>
          </w:rPr>
          <m:t>T</m:t>
        </m:r>
        <m:d>
          <m:dPr>
            <m:ctrlPr>
              <w:rPr>
                <w:rFonts w:ascii="Cambria Math" w:hAnsi="Cambria Math"/>
                <w:i/>
                <w:spacing w:val="-2"/>
                <w:lang w:val="en-US"/>
              </w:rPr>
            </m:ctrlPr>
          </m:dPr>
          <m:e>
            <m:r>
              <w:rPr>
                <w:rFonts w:ascii="Cambria Math" w:hAnsi="Cambria Math"/>
                <w:spacing w:val="-2"/>
                <w:lang w:val="en-US"/>
              </w:rPr>
              <m:t>γ</m:t>
            </m:r>
          </m:e>
        </m:d>
      </m:oMath>
      <w:r w:rsidRPr="002B7485">
        <w:rPr>
          <w:rFonts w:eastAsiaTheme="minorEastAsia"/>
          <w:spacing w:val="-2"/>
        </w:rPr>
        <w:t xml:space="preserve"> – терм-множество ЛП (пр</w:t>
      </w:r>
      <w:r w:rsidRPr="002B7485">
        <w:rPr>
          <w:rFonts w:eastAsiaTheme="minorEastAsia"/>
          <w:spacing w:val="-2"/>
        </w:rPr>
        <w:t>и</w:t>
      </w:r>
      <w:r w:rsidRPr="002B7485">
        <w:rPr>
          <w:rFonts w:eastAsiaTheme="minorEastAsia"/>
          <w:spacing w:val="-2"/>
        </w:rPr>
        <w:t xml:space="preserve">нято равным трем), </w:t>
      </w:r>
      <m:oMath>
        <m:r>
          <w:rPr>
            <w:rFonts w:ascii="Cambria Math" w:hAnsi="Cambria Math"/>
            <w:spacing w:val="-2"/>
            <w:lang w:val="en-US"/>
          </w:rPr>
          <m:t>U</m:t>
        </m:r>
      </m:oMath>
      <w:r w:rsidRPr="002B7485">
        <w:rPr>
          <w:rFonts w:eastAsiaTheme="minorEastAsia"/>
          <w:spacing w:val="-2"/>
        </w:rPr>
        <w:t xml:space="preserve"> – область определения ЛП (принята на основании статистических данных о минимальном и максимальном значении показателя устойчивости в исследуемой совокупности реги</w:t>
      </w:r>
      <w:r w:rsidRPr="002B7485">
        <w:rPr>
          <w:rFonts w:eastAsiaTheme="minorEastAsia"/>
          <w:spacing w:val="-2"/>
        </w:rPr>
        <w:t>о</w:t>
      </w:r>
      <w:r w:rsidRPr="002B7485">
        <w:rPr>
          <w:rFonts w:eastAsiaTheme="minorEastAsia"/>
          <w:spacing w:val="-2"/>
        </w:rPr>
        <w:t xml:space="preserve">нов), </w:t>
      </w:r>
      <m:oMath>
        <m:r>
          <w:rPr>
            <w:rFonts w:ascii="Cambria Math" w:hAnsi="Cambria Math"/>
            <w:spacing w:val="-2"/>
            <w:lang w:val="en-US"/>
          </w:rPr>
          <m:t>G</m:t>
        </m:r>
      </m:oMath>
      <w:r w:rsidRPr="002B7485">
        <w:rPr>
          <w:rFonts w:eastAsiaTheme="minorEastAsia"/>
          <w:spacing w:val="-2"/>
        </w:rPr>
        <w:t xml:space="preserve"> – синтаксическое правило образования те</w:t>
      </w:r>
      <w:r w:rsidRPr="002B7485">
        <w:rPr>
          <w:rFonts w:eastAsiaTheme="minorEastAsia"/>
          <w:spacing w:val="-2"/>
        </w:rPr>
        <w:t>р</w:t>
      </w:r>
      <w:r w:rsidRPr="002B7485">
        <w:rPr>
          <w:rFonts w:eastAsiaTheme="minorEastAsia"/>
          <w:spacing w:val="-2"/>
        </w:rPr>
        <w:t xml:space="preserve">мов, </w:t>
      </w:r>
      <m:oMath>
        <m:r>
          <w:rPr>
            <w:rFonts w:ascii="Cambria Math" w:hAnsi="Cambria Math"/>
            <w:spacing w:val="-2"/>
            <w:lang w:val="en-US"/>
          </w:rPr>
          <m:t>M</m:t>
        </m:r>
      </m:oMath>
      <w:r w:rsidRPr="002B7485">
        <w:rPr>
          <w:rFonts w:eastAsiaTheme="minorEastAsia"/>
          <w:spacing w:val="-2"/>
        </w:rPr>
        <w:t xml:space="preserve"> – семантическая процедура задания нече</w:t>
      </w:r>
      <w:r w:rsidRPr="002B7485">
        <w:rPr>
          <w:rFonts w:eastAsiaTheme="minorEastAsia"/>
          <w:spacing w:val="-2"/>
        </w:rPr>
        <w:t>т</w:t>
      </w:r>
      <w:r w:rsidRPr="002B7485">
        <w:rPr>
          <w:rFonts w:eastAsiaTheme="minorEastAsia"/>
          <w:spacing w:val="-2"/>
        </w:rPr>
        <w:t xml:space="preserve">кой переменной на универсальном множестве </w:t>
      </w:r>
      <m:oMath>
        <m:r>
          <w:rPr>
            <w:rFonts w:ascii="Cambria Math" w:hAnsi="Cambria Math"/>
            <w:spacing w:val="-2"/>
            <w:lang w:val="en-US"/>
          </w:rPr>
          <m:t>U</m:t>
        </m:r>
      </m:oMath>
      <w:r w:rsidRPr="002B7485">
        <w:rPr>
          <w:rFonts w:eastAsiaTheme="minorEastAsia"/>
          <w:spacing w:val="-2"/>
        </w:rPr>
        <w:t>.</w:t>
      </w:r>
    </w:p>
    <w:p w:rsidR="002B7485" w:rsidRPr="002B7485" w:rsidRDefault="002B7485" w:rsidP="002B7485">
      <w:pPr>
        <w:ind w:firstLine="397"/>
        <w:rPr>
          <w:rFonts w:eastAsiaTheme="minorEastAsia"/>
        </w:rPr>
      </w:pPr>
      <w:r w:rsidRPr="002B7485">
        <w:t xml:space="preserve">3. Формирование базы правил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lang w:val="en-US"/>
                  </w:rPr>
                  <m:t>R</m:t>
                </m:r>
              </m:e>
              <m:sub>
                <m:r>
                  <w:rPr>
                    <w:rFonts w:ascii="Cambria Math" w:hAnsi="Cambria Math"/>
                  </w:rPr>
                  <m:t>k</m:t>
                </m:r>
              </m:sub>
            </m:sSub>
          </m:e>
        </m:d>
      </m:oMath>
      <w:r w:rsidRPr="002B7485">
        <w:rPr>
          <w:rFonts w:eastAsiaTheme="minorEastAsia"/>
        </w:rPr>
        <w:t xml:space="preserve"> – нече</w:t>
      </w:r>
      <w:r w:rsidRPr="002B7485">
        <w:rPr>
          <w:rFonts w:eastAsiaTheme="minorEastAsia"/>
        </w:rPr>
        <w:t>т</w:t>
      </w:r>
      <w:r w:rsidRPr="002B7485">
        <w:rPr>
          <w:rFonts w:eastAsiaTheme="minorEastAsia"/>
        </w:rPr>
        <w:t xml:space="preserve">кими импликациями в форме простых </w:t>
      </w:r>
      <w:proofErr w:type="spellStart"/>
      <w:r w:rsidRPr="002B7485">
        <w:rPr>
          <w:rFonts w:eastAsiaTheme="minorEastAsia"/>
        </w:rPr>
        <w:t>подусловий</w:t>
      </w:r>
      <w:proofErr w:type="spellEnd"/>
      <w:r w:rsidRPr="002B7485">
        <w:rPr>
          <w:rFonts w:eastAsiaTheme="minorEastAsia"/>
        </w:rPr>
        <w:t xml:space="preserve">: </w:t>
      </w:r>
      <m:oMath>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lang w:val="en-US"/>
                  </w:rPr>
                  <m:t>R</m:t>
                </m:r>
              </m:e>
              <m: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sub>
            </m:sSub>
          </m:e>
          <m:sub>
            <m:r>
              <w:rPr>
                <w:rFonts w:ascii="Cambria Math" w:eastAsiaTheme="minorEastAsia" w:hAnsi="Cambria Math"/>
              </w:rPr>
              <m:t>k</m:t>
            </m:r>
          </m:sub>
        </m:sSub>
        <m:r>
          <w:rPr>
            <w:rFonts w:ascii="Cambria Math" w:eastAsiaTheme="minorEastAsia"/>
          </w:rPr>
          <m:t>:</m:t>
        </m:r>
        <m:r>
          <w:rPr>
            <w:rFonts w:ascii="Cambria Math" w:eastAsiaTheme="minorEastAsia" w:hAnsi="Cambria Math"/>
          </w:rPr>
          <m:t>if</m:t>
        </m:r>
        <m:r>
          <w:rPr>
            <w:rFonts w:ascii="Cambria Math" w:eastAsiaTheme="minorEastAsia"/>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r>
              <w:rPr>
                <w:rFonts w:ascii="Cambria Math" w:eastAsiaTheme="minorEastAsia"/>
              </w:rPr>
              <m:t xml:space="preserve"> </m:t>
            </m:r>
          </m:sub>
        </m:sSub>
        <m:r>
          <w:rPr>
            <w:rFonts w:ascii="Cambria Math" w:eastAsiaTheme="minorEastAsia" w:hAnsi="Cambria Math"/>
          </w:rPr>
          <m:t>ϵ</m:t>
        </m:r>
        <m:r>
          <w:rPr>
            <w:rFonts w:ascii="Cambria Math" w:eastAsiaTheme="minorEastAsia"/>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T</m:t>
                </m:r>
              </m:e>
              <m: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sub>
            </m:sSub>
          </m:e>
          <m:sub>
            <m:r>
              <w:rPr>
                <w:rFonts w:ascii="Cambria Math" w:eastAsiaTheme="minorEastAsia" w:hAnsi="Cambria Math"/>
              </w:rPr>
              <m:t>k</m:t>
            </m:r>
          </m:sub>
        </m:sSub>
        <m:r>
          <w:rPr>
            <w:rFonts w:ascii="Cambria Math" w:eastAsiaTheme="minorEastAsia"/>
          </w:rPr>
          <m:t xml:space="preserve"> </m:t>
        </m:r>
        <m:r>
          <w:rPr>
            <w:rFonts w:ascii="Cambria Math" w:eastAsiaTheme="minorEastAsia" w:hAnsi="Cambria Math"/>
          </w:rPr>
          <m:t>t</m:t>
        </m:r>
        <m:r>
          <w:rPr>
            <w:rFonts w:eastAsiaTheme="minorEastAsia" w:hAnsi="Cambria Math"/>
          </w:rPr>
          <m:t>h</m:t>
        </m:r>
        <m:r>
          <w:rPr>
            <w:rFonts w:ascii="Cambria Math" w:eastAsiaTheme="minorEastAsia" w:hAnsi="Cambria Math"/>
          </w:rPr>
          <m:t>en</m:t>
        </m:r>
        <m:r>
          <w:rPr>
            <w:rFonts w:ascii="Cambria Math" w:eastAsiaTheme="minorEastAsia"/>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rPr>
          <m:t xml:space="preserve"> </m:t>
        </m:r>
        <m:r>
          <w:rPr>
            <w:rFonts w:ascii="Cambria Math" w:eastAsiaTheme="minorEastAsia" w:hAnsi="Cambria Math"/>
          </w:rPr>
          <m:t>ϵ</m:t>
        </m:r>
        <m:r>
          <w:rPr>
            <w:rFonts w:ascii="Cambria Math" w:eastAsiaTheme="minorEastAsia"/>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T</m:t>
                </m:r>
              </m:e>
              <m: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sub>
            </m:sSub>
          </m:e>
          <m:sub>
            <m:r>
              <w:rPr>
                <w:rFonts w:ascii="Cambria Math" w:eastAsiaTheme="minorEastAsia" w:hAnsi="Cambria Math"/>
              </w:rPr>
              <m:t>k</m:t>
            </m:r>
          </m:sub>
        </m:sSub>
      </m:oMath>
      <w:r w:rsidRPr="002B7485">
        <w:rPr>
          <w:rFonts w:eastAsiaTheme="minorEastAsia"/>
        </w:rPr>
        <w:t>.</w:t>
      </w:r>
    </w:p>
    <w:p w:rsidR="002B7485" w:rsidRPr="002B7485" w:rsidRDefault="002B7485" w:rsidP="002B7485">
      <w:pPr>
        <w:ind w:firstLine="397"/>
        <w:rPr>
          <w:rFonts w:eastAsiaTheme="minorEastAsia"/>
        </w:rPr>
      </w:pPr>
      <w:r w:rsidRPr="002B7485">
        <w:rPr>
          <w:rFonts w:eastAsiaTheme="minorEastAsia"/>
        </w:rPr>
        <w:t xml:space="preserve">4. </w:t>
      </w:r>
      <w:proofErr w:type="spellStart"/>
      <w:r w:rsidRPr="002B7485">
        <w:t>Фаззификация</w:t>
      </w:r>
      <w:proofErr w:type="spellEnd"/>
      <w:r w:rsidRPr="002B7485">
        <w:t xml:space="preserve"> входных переменных. Ре</w:t>
      </w:r>
      <w:r w:rsidRPr="002B7485">
        <w:t>а</w:t>
      </w:r>
      <w:r w:rsidRPr="002B7485">
        <w:t>лизуется с использованием функций принадле</w:t>
      </w:r>
      <w:r w:rsidRPr="002B7485">
        <w:t>ж</w:t>
      </w:r>
      <w:r w:rsidRPr="002B7485">
        <w:t>ности интуитивного типа (гауссовой и сигмо</w:t>
      </w:r>
      <w:r w:rsidRPr="002B7485">
        <w:t>и</w:t>
      </w:r>
      <w:r w:rsidRPr="002B7485">
        <w:t>дальной). Параметры функций принадлежности задаются методом критической точки. Координата каждой критической точки устанавливается либо экспертно, либо на основании статистических оценок; в проводимом исследовании координаты критических точек устанавливались на основании средних оценок в</w:t>
      </w:r>
      <w:r w:rsidRPr="002B7485">
        <w:rPr>
          <w:rFonts w:eastAsiaTheme="minorEastAsia"/>
        </w:rPr>
        <w:t xml:space="preserve"> составе универсального множ</w:t>
      </w:r>
      <w:r w:rsidRPr="002B7485">
        <w:rPr>
          <w:rFonts w:eastAsiaTheme="minorEastAsia"/>
        </w:rPr>
        <w:t>е</w:t>
      </w:r>
      <w:r w:rsidRPr="002B7485">
        <w:rPr>
          <w:rFonts w:eastAsiaTheme="minorEastAsia"/>
        </w:rPr>
        <w:t xml:space="preserve">ства </w:t>
      </w:r>
      <m:oMath>
        <m:r>
          <w:rPr>
            <w:rFonts w:ascii="Cambria Math" w:hAnsi="Cambria Math"/>
            <w:lang w:val="en-US"/>
          </w:rPr>
          <m:t>U</m:t>
        </m:r>
      </m:oMath>
      <w:r w:rsidRPr="002B7485">
        <w:rPr>
          <w:rFonts w:eastAsiaTheme="minorEastAsia"/>
        </w:rPr>
        <w:t xml:space="preserve"> по каждому входному параметру </w:t>
      </w:r>
      <m:oMath>
        <m:r>
          <w:rPr>
            <w:rFonts w:ascii="Cambria Math" w:hAnsi="Cambria Math"/>
          </w:rPr>
          <m:t>x</m:t>
        </m:r>
      </m:oMath>
      <w:r w:rsidRPr="002B7485">
        <w:rPr>
          <w:rFonts w:eastAsiaTheme="minorEastAsia"/>
        </w:rPr>
        <w:t xml:space="preserve">. </w:t>
      </w:r>
    </w:p>
    <w:p w:rsidR="002B7485" w:rsidRPr="002B7485" w:rsidRDefault="002B7485" w:rsidP="002B7485">
      <w:pPr>
        <w:ind w:firstLine="397"/>
        <w:rPr>
          <w:rFonts w:eastAsiaTheme="minorEastAsia"/>
        </w:rPr>
      </w:pPr>
      <w:r w:rsidRPr="002B7485">
        <w:rPr>
          <w:rFonts w:eastAsiaTheme="minorEastAsia"/>
        </w:rPr>
        <w:t xml:space="preserve">5. Активизация </w:t>
      </w:r>
      <w:proofErr w:type="spellStart"/>
      <w:r w:rsidRPr="002B7485">
        <w:rPr>
          <w:rFonts w:eastAsiaTheme="minorEastAsia"/>
        </w:rPr>
        <w:t>подзаключений</w:t>
      </w:r>
      <w:proofErr w:type="spellEnd"/>
      <w:r w:rsidRPr="002B7485">
        <w:rPr>
          <w:rFonts w:eastAsiaTheme="minorEastAsia"/>
        </w:rPr>
        <w:t xml:space="preserve"> проводится через </w:t>
      </w:r>
      <w:r w:rsidRPr="002B7485">
        <w:rPr>
          <w:rFonts w:eastAsiaTheme="minorEastAsia"/>
          <w:lang w:val="en-US"/>
        </w:rPr>
        <w:t>min</w:t>
      </w:r>
      <w:r w:rsidRPr="002B7485">
        <w:rPr>
          <w:rFonts w:eastAsiaTheme="minorEastAsia"/>
        </w:rPr>
        <w:t>-отсечение.</w:t>
      </w:r>
    </w:p>
    <w:p w:rsidR="002B7485" w:rsidRPr="002B7485" w:rsidRDefault="002B7485" w:rsidP="002B7485">
      <w:pPr>
        <w:ind w:firstLine="397"/>
        <w:rPr>
          <w:rFonts w:eastAsiaTheme="minorEastAsia"/>
        </w:rPr>
      </w:pPr>
      <w:r w:rsidRPr="002B7485">
        <w:rPr>
          <w:rFonts w:eastAsiaTheme="minorEastAsia"/>
        </w:rPr>
        <w:t xml:space="preserve">6. Аккумуляция </w:t>
      </w:r>
      <w:proofErr w:type="spellStart"/>
      <w:r w:rsidRPr="002B7485">
        <w:rPr>
          <w:rFonts w:eastAsiaTheme="minorEastAsia"/>
        </w:rPr>
        <w:t>подзаключений</w:t>
      </w:r>
      <w:proofErr w:type="spellEnd"/>
      <w:r w:rsidRPr="002B7485">
        <w:rPr>
          <w:rFonts w:eastAsiaTheme="minorEastAsia"/>
        </w:rPr>
        <w:t xml:space="preserve"> проводится через </w:t>
      </w:r>
      <w:r w:rsidRPr="002B7485">
        <w:rPr>
          <w:rFonts w:eastAsiaTheme="minorEastAsia"/>
          <w:lang w:val="en-US"/>
        </w:rPr>
        <w:t>max</w:t>
      </w:r>
      <w:r w:rsidRPr="002B7485">
        <w:rPr>
          <w:rFonts w:eastAsiaTheme="minorEastAsia"/>
        </w:rPr>
        <w:t xml:space="preserve">-объединение </w:t>
      </w:r>
      <w:proofErr w:type="gramStart"/>
      <w:r w:rsidRPr="002B7485">
        <w:rPr>
          <w:rFonts w:eastAsiaTheme="minorEastAsia"/>
        </w:rPr>
        <w:t>активизированных</w:t>
      </w:r>
      <w:proofErr w:type="gramEnd"/>
      <w:r w:rsidRPr="002B7485">
        <w:rPr>
          <w:rFonts w:eastAsiaTheme="minorEastAsia"/>
        </w:rPr>
        <w:t xml:space="preserve"> </w:t>
      </w:r>
      <w:proofErr w:type="spellStart"/>
      <w:r w:rsidRPr="002B7485">
        <w:rPr>
          <w:rFonts w:eastAsiaTheme="minorEastAsia"/>
        </w:rPr>
        <w:t>подза</w:t>
      </w:r>
      <w:r w:rsidRPr="002B7485">
        <w:rPr>
          <w:rFonts w:eastAsiaTheme="minorEastAsia"/>
        </w:rPr>
        <w:t>к</w:t>
      </w:r>
      <w:r w:rsidRPr="002B7485">
        <w:rPr>
          <w:rFonts w:eastAsiaTheme="minorEastAsia"/>
        </w:rPr>
        <w:t>лючений</w:t>
      </w:r>
      <w:proofErr w:type="spellEnd"/>
      <w:r w:rsidRPr="002B7485">
        <w:rPr>
          <w:rFonts w:eastAsiaTheme="minorEastAsia"/>
        </w:rPr>
        <w:t xml:space="preserve">. </w:t>
      </w:r>
    </w:p>
    <w:p w:rsidR="002B7485" w:rsidRPr="002B7485" w:rsidRDefault="002B7485" w:rsidP="002B7485">
      <w:pPr>
        <w:ind w:firstLine="397"/>
        <w:rPr>
          <w:rFonts w:eastAsiaTheme="minorEastAsia"/>
        </w:rPr>
      </w:pPr>
      <w:r w:rsidRPr="002B7485">
        <w:rPr>
          <w:rFonts w:eastAsiaTheme="minorEastAsia"/>
        </w:rPr>
        <w:t xml:space="preserve">7. </w:t>
      </w:r>
      <w:proofErr w:type="spellStart"/>
      <w:r w:rsidRPr="002B7485">
        <w:rPr>
          <w:rFonts w:eastAsiaTheme="minorEastAsia"/>
        </w:rPr>
        <w:t>Дефаззификация</w:t>
      </w:r>
      <w:proofErr w:type="spellEnd"/>
      <w:r w:rsidRPr="002B7485">
        <w:rPr>
          <w:rFonts w:eastAsiaTheme="minorEastAsia"/>
        </w:rPr>
        <w:t xml:space="preserve"> выходного параметра пр</w:t>
      </w:r>
      <w:r w:rsidRPr="002B7485">
        <w:rPr>
          <w:rFonts w:eastAsiaTheme="minorEastAsia"/>
        </w:rPr>
        <w:t>о</w:t>
      </w:r>
      <w:r w:rsidRPr="002B7485">
        <w:rPr>
          <w:rFonts w:eastAsiaTheme="minorEastAsia"/>
        </w:rPr>
        <w:t>водится методом центра тяжести.</w:t>
      </w:r>
    </w:p>
    <w:p w:rsidR="002B7485" w:rsidRPr="002B7485" w:rsidRDefault="002B7485" w:rsidP="002B7485">
      <w:pPr>
        <w:ind w:firstLine="397"/>
        <w:rPr>
          <w:i/>
        </w:rPr>
      </w:pPr>
      <w:r w:rsidRPr="002B7485">
        <w:rPr>
          <w:rFonts w:eastAsiaTheme="minorEastAsia"/>
        </w:rPr>
        <w:lastRenderedPageBreak/>
        <w:t xml:space="preserve">8. Расчет итогового значения </w:t>
      </w:r>
      <w:r w:rsidRPr="002B7485">
        <w:t xml:space="preserve">показателя </w:t>
      </w:r>
      <w:proofErr w:type="spellStart"/>
      <w:r w:rsidRPr="002B7485">
        <w:rPr>
          <w:lang w:val="en-US"/>
        </w:rPr>
        <w:t>SD</w:t>
      </w:r>
      <w:r w:rsidRPr="002B7485">
        <w:rPr>
          <w:vertAlign w:val="subscript"/>
          <w:lang w:val="en-US"/>
        </w:rPr>
        <w:t>ind</w:t>
      </w:r>
      <w:proofErr w:type="spellEnd"/>
      <w:r w:rsidRPr="002B7485">
        <w:rPr>
          <w:vertAlign w:val="subscript"/>
        </w:rPr>
        <w:t>(9)</w:t>
      </w:r>
      <w:r w:rsidRPr="002B7485">
        <w:t xml:space="preserve"> проводится через приемлемую функцию агрегирования. В проводимом исследовании функция агрегирования реализована как средн</w:t>
      </w:r>
      <w:r w:rsidRPr="002B7485">
        <w:t>е</w:t>
      </w:r>
      <w:r w:rsidRPr="002B7485">
        <w:t xml:space="preserve">взвешенная величина. </w:t>
      </w:r>
    </w:p>
    <w:p w:rsidR="002B7485" w:rsidRPr="002B7485" w:rsidRDefault="002B7485" w:rsidP="002B7485">
      <w:pPr>
        <w:ind w:firstLine="397"/>
        <w:rPr>
          <w:b/>
        </w:rPr>
      </w:pPr>
      <w:r w:rsidRPr="002B7485">
        <w:rPr>
          <w:b/>
        </w:rPr>
        <w:t>Результаты и обсуждение</w:t>
      </w:r>
    </w:p>
    <w:p w:rsidR="002B7485" w:rsidRPr="00E053D3" w:rsidRDefault="002B7485" w:rsidP="002B7485">
      <w:pPr>
        <w:ind w:firstLine="397"/>
        <w:rPr>
          <w:i/>
        </w:rPr>
      </w:pPr>
      <w:r w:rsidRPr="00E053D3">
        <w:rPr>
          <w:i/>
        </w:rPr>
        <w:t>1. Структурная модель декомпозиции наци</w:t>
      </w:r>
      <w:r w:rsidRPr="00E053D3">
        <w:rPr>
          <w:i/>
        </w:rPr>
        <w:t>о</w:t>
      </w:r>
      <w:r w:rsidRPr="00E053D3">
        <w:rPr>
          <w:i/>
        </w:rPr>
        <w:t>нальных показателей ЦУР «Создание стойкой инфраструктуры, содействие всеохватной и у</w:t>
      </w:r>
      <w:r w:rsidRPr="00E053D3">
        <w:rPr>
          <w:i/>
        </w:rPr>
        <w:t>с</w:t>
      </w:r>
      <w:r w:rsidRPr="00E053D3">
        <w:rPr>
          <w:i/>
        </w:rPr>
        <w:t xml:space="preserve">тойчивой индустриализации и инновациям» </w:t>
      </w:r>
    </w:p>
    <w:p w:rsidR="002B7485" w:rsidRPr="002B7485" w:rsidRDefault="002B7485" w:rsidP="002B7485">
      <w:pPr>
        <w:ind w:firstLine="397"/>
      </w:pPr>
      <w:r w:rsidRPr="002B7485">
        <w:t>В российской системе государственной р</w:t>
      </w:r>
      <w:r w:rsidRPr="002B7485">
        <w:t>е</w:t>
      </w:r>
      <w:r w:rsidRPr="002B7485">
        <w:t xml:space="preserve">гиональной статистики сложился необходимый состав показателей, с помощью которых возможно раскрыть в региональном аспекте национальные показатели ЦУР. </w:t>
      </w:r>
    </w:p>
    <w:p w:rsidR="002B7485" w:rsidRPr="002B7485" w:rsidRDefault="002B7485" w:rsidP="002B7485">
      <w:pPr>
        <w:ind w:firstLine="397"/>
      </w:pPr>
      <w:r w:rsidRPr="002B7485">
        <w:t>В рамках проводимого исследования было получено решение этой задачи применительно к ЦУР «Создание стойкой инфраструктуры, соде</w:t>
      </w:r>
      <w:r w:rsidRPr="002B7485">
        <w:t>й</w:t>
      </w:r>
      <w:r w:rsidRPr="002B7485">
        <w:t>ствие всеохватной и устойчивой индустриализ</w:t>
      </w:r>
      <w:r w:rsidRPr="002B7485">
        <w:t>а</w:t>
      </w:r>
      <w:r w:rsidRPr="002B7485">
        <w:t>ции и инновациям» (рис. 1).</w:t>
      </w:r>
    </w:p>
    <w:p w:rsidR="002B7485" w:rsidRPr="002B7485" w:rsidRDefault="002B7485" w:rsidP="002B7485">
      <w:pPr>
        <w:ind w:firstLine="397"/>
      </w:pPr>
      <w:r w:rsidRPr="002B7485">
        <w:t xml:space="preserve">В соответствии с представленной на рис. 1 моделью, отображающей структурное содержание интегрального показателя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(9)</w:t>
      </w:r>
      <w:r w:rsidRPr="002B7485">
        <w:t>, был проведен сбор и предобработка данных о факторах, прим</w:t>
      </w:r>
      <w:r w:rsidRPr="002B7485">
        <w:t>е</w:t>
      </w:r>
      <w:r w:rsidRPr="002B7485">
        <w:t>нимых в оценке уровня устойчивого развития р</w:t>
      </w:r>
      <w:r w:rsidRPr="002B7485">
        <w:t>е</w:t>
      </w:r>
      <w:r w:rsidRPr="002B7485">
        <w:t xml:space="preserve">гионов в сфере индустриализации и инноваций. Результаты этого этапа исследования приведены в таблице. </w:t>
      </w:r>
    </w:p>
    <w:p w:rsidR="002B7485" w:rsidRPr="002B7485" w:rsidRDefault="002B7485" w:rsidP="002B7485">
      <w:pPr>
        <w:ind w:firstLine="397"/>
      </w:pPr>
      <w:r w:rsidRPr="002B7485">
        <w:t>Приведенные в таблице данные свидетельс</w:t>
      </w:r>
      <w:r w:rsidRPr="002B7485">
        <w:t>т</w:t>
      </w:r>
      <w:r w:rsidRPr="002B7485">
        <w:t>вуют о высокой неоднородности исследуемых п</w:t>
      </w:r>
      <w:r w:rsidRPr="002B7485">
        <w:t>о</w:t>
      </w:r>
      <w:r w:rsidRPr="002B7485">
        <w:t>казателей, что затрудняет однозначную оценку и характеристику уровня устойчивого развития р</w:t>
      </w:r>
      <w:r w:rsidRPr="002B7485">
        <w:t>е</w:t>
      </w:r>
      <w:r w:rsidRPr="002B7485">
        <w:t xml:space="preserve">гионов в сфере индустриализации и инноваций. Для сопоставления региональных показателей был проведен расчет интегрального показателя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 xml:space="preserve">(9) </w:t>
      </w:r>
      <w:r w:rsidRPr="002B7485">
        <w:t>.</w:t>
      </w:r>
    </w:p>
    <w:p w:rsidR="002B7485" w:rsidRPr="002B7485" w:rsidRDefault="002B7485" w:rsidP="002B7485">
      <w:pPr>
        <w:ind w:firstLine="397"/>
        <w:rPr>
          <w:i/>
        </w:rPr>
      </w:pPr>
      <w:r w:rsidRPr="002B7485">
        <w:rPr>
          <w:i/>
        </w:rPr>
        <w:t>2. Оценка интегральных показателей усто</w:t>
      </w:r>
      <w:r w:rsidRPr="002B7485">
        <w:rPr>
          <w:i/>
        </w:rPr>
        <w:t>й</w:t>
      </w:r>
      <w:r w:rsidRPr="002B7485">
        <w:rPr>
          <w:i/>
        </w:rPr>
        <w:t>чивого развития регионов в сфере индустрии и инноваций (</w:t>
      </w:r>
      <w:proofErr w:type="spellStart"/>
      <w:r w:rsidRPr="002B7485">
        <w:rPr>
          <w:i/>
          <w:color w:val="000000"/>
          <w:lang w:val="en-US"/>
        </w:rPr>
        <w:t>SD</w:t>
      </w:r>
      <w:r w:rsidRPr="002B7485">
        <w:rPr>
          <w:i/>
          <w:color w:val="000000"/>
          <w:vertAlign w:val="subscript"/>
          <w:lang w:val="en-US"/>
        </w:rPr>
        <w:t>ind</w:t>
      </w:r>
      <w:proofErr w:type="spellEnd"/>
      <w:r w:rsidRPr="002B7485">
        <w:rPr>
          <w:i/>
          <w:color w:val="000000"/>
          <w:vertAlign w:val="subscript"/>
        </w:rPr>
        <w:t>(9)</w:t>
      </w:r>
      <w:r w:rsidRPr="002B7485">
        <w:rPr>
          <w:i/>
        </w:rPr>
        <w:t xml:space="preserve">) </w:t>
      </w:r>
    </w:p>
    <w:p w:rsidR="002B7485" w:rsidRPr="002B7485" w:rsidRDefault="002B7485" w:rsidP="002B7485">
      <w:pPr>
        <w:ind w:firstLine="397"/>
      </w:pPr>
      <w:r w:rsidRPr="002B7485">
        <w:t>Обработка данных о частных показателях у</w:t>
      </w:r>
      <w:r w:rsidRPr="002B7485">
        <w:t>с</w:t>
      </w:r>
      <w:r w:rsidRPr="002B7485">
        <w:t xml:space="preserve">тойчивого развития регионов </w:t>
      </w:r>
      <w:proofErr w:type="spellStart"/>
      <w:r w:rsidRPr="002B7485">
        <w:t>ПФО</w:t>
      </w:r>
      <w:proofErr w:type="spellEnd"/>
      <w:r w:rsidRPr="002B7485">
        <w:t xml:space="preserve"> в сфере инд</w:t>
      </w:r>
      <w:r w:rsidRPr="002B7485">
        <w:t>у</w:t>
      </w:r>
      <w:r w:rsidRPr="002B7485">
        <w:t>стриализации и инноваций и формирование инт</w:t>
      </w:r>
      <w:r w:rsidRPr="002B7485">
        <w:t>е</w:t>
      </w:r>
      <w:r w:rsidRPr="002B7485">
        <w:t xml:space="preserve">гральных показателей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(9)</w:t>
      </w:r>
      <w:r w:rsidRPr="002B7485">
        <w:t xml:space="preserve"> для этих регионов проводилась в соответствии с описанным выше алгоритмом НЛВ. Для численной реализации да</w:t>
      </w:r>
      <w:r w:rsidRPr="002B7485">
        <w:t>н</w:t>
      </w:r>
      <w:r w:rsidRPr="002B7485">
        <w:t>ного алгоритма была использована специализир</w:t>
      </w:r>
      <w:r w:rsidRPr="002B7485">
        <w:t>о</w:t>
      </w:r>
      <w:r w:rsidRPr="002B7485">
        <w:t xml:space="preserve">ванная программа для ЭВМ (автор – проф., д. ф.-м. н. В.А. </w:t>
      </w:r>
      <w:proofErr w:type="spellStart"/>
      <w:r w:rsidRPr="002B7485">
        <w:t>Тененев</w:t>
      </w:r>
      <w:proofErr w:type="spellEnd"/>
      <w:r w:rsidRPr="002B7485">
        <w:t>). Используемая программа для ЭВМ направлена на реализацию нечетко-когнитивного подхода к исследованию систем, в том числе, с помощью средств нечетко-множественного моделирования; наиболее сущ</w:t>
      </w:r>
      <w:r w:rsidRPr="002B7485">
        <w:t>е</w:t>
      </w:r>
      <w:r w:rsidRPr="002B7485">
        <w:t>ственные положения нечетко-когнитивного по</w:t>
      </w:r>
      <w:r w:rsidRPr="002B7485">
        <w:t>д</w:t>
      </w:r>
      <w:r w:rsidRPr="002B7485">
        <w:t>хода и функциональные возможности програм</w:t>
      </w:r>
      <w:r w:rsidRPr="002B7485">
        <w:t>м</w:t>
      </w:r>
      <w:r w:rsidRPr="002B7485">
        <w:t>ной реализации применяемых в его составе мет</w:t>
      </w:r>
      <w:r w:rsidRPr="002B7485">
        <w:t>о</w:t>
      </w:r>
      <w:r w:rsidRPr="002B7485">
        <w:t>дов изложены в работе [19].</w:t>
      </w:r>
    </w:p>
    <w:p w:rsidR="002B7485" w:rsidRPr="002B7485" w:rsidRDefault="002B7485" w:rsidP="002B7485">
      <w:pPr>
        <w:adjustRightInd w:val="0"/>
        <w:ind w:firstLine="397"/>
        <w:rPr>
          <w:color w:val="000000"/>
        </w:rPr>
      </w:pPr>
      <w:r w:rsidRPr="002B7485">
        <w:t xml:space="preserve">Результаты обработки данных – численная оценка показателей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 xml:space="preserve">(9) </w:t>
      </w:r>
      <w:r w:rsidRPr="002B7485">
        <w:rPr>
          <w:color w:val="000000"/>
        </w:rPr>
        <w:t xml:space="preserve">и </w:t>
      </w:r>
      <w:proofErr w:type="spellStart"/>
      <w:r w:rsidRPr="002B7485">
        <w:rPr>
          <w:color w:val="000000"/>
          <w:lang w:val="en-US"/>
        </w:rPr>
        <w:t>SD</w:t>
      </w:r>
      <w:r w:rsidRPr="002B7485">
        <w:rPr>
          <w:color w:val="000000"/>
          <w:vertAlign w:val="superscript"/>
          <w:lang w:val="en-US"/>
        </w:rPr>
        <w:t>e</w:t>
      </w:r>
      <w:r w:rsidRPr="002B7485">
        <w:rPr>
          <w:color w:val="000000"/>
          <w:vertAlign w:val="subscript"/>
          <w:lang w:val="en-US"/>
        </w:rPr>
        <w:t>ind</w:t>
      </w:r>
      <w:proofErr w:type="spellEnd"/>
      <w:r w:rsidRPr="002B7485">
        <w:rPr>
          <w:color w:val="000000"/>
          <w:vertAlign w:val="subscript"/>
        </w:rPr>
        <w:t xml:space="preserve">(9) </w:t>
      </w:r>
      <w:r w:rsidRPr="002B7485">
        <w:rPr>
          <w:color w:val="000000"/>
        </w:rPr>
        <w:t>– представл</w:t>
      </w:r>
      <w:r w:rsidRPr="002B7485">
        <w:rPr>
          <w:color w:val="000000"/>
        </w:rPr>
        <w:t>е</w:t>
      </w:r>
      <w:r w:rsidRPr="002B7485">
        <w:rPr>
          <w:color w:val="000000"/>
        </w:rPr>
        <w:t xml:space="preserve">ны в форме диаграммы (рис. 2). </w:t>
      </w:r>
    </w:p>
    <w:p w:rsidR="002B7485" w:rsidRPr="002B7485" w:rsidRDefault="002B7485" w:rsidP="002B7485"/>
    <w:p w:rsidR="002B7485" w:rsidRPr="002B7485" w:rsidRDefault="005201E1" w:rsidP="002B7485">
      <w:r>
        <w:rPr>
          <w:noProof/>
        </w:rPr>
        <w:lastRenderedPageBreak/>
        <w:pict>
          <v:shape id="Поле 2" o:spid="_x0000_s1416" type="#_x0000_t202" style="position:absolute;left:0;text-align:left;margin-left:-1.25pt;margin-top:3.5pt;width:456.4pt;height:67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" filled="f" stroked="f" strokeweight=".5pt">
            <v:textbox>
              <w:txbxContent>
                <w:p w:rsidR="00F332D6" w:rsidRDefault="00F332D6" w:rsidP="002B7485">
                  <w:pPr>
                    <w:spacing w:line="204" w:lineRule="auto"/>
                    <w:jc w:val="center"/>
                    <w:rPr>
                      <w:b/>
                    </w:rPr>
                  </w:pPr>
                  <w:r w:rsidRPr="00E41DD1">
                    <w:object w:dxaOrig="11026" w:dyaOrig="7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pt;height:222.1pt" o:ole="">
                        <v:imagedata r:id="rId8" o:title=""/>
                      </v:shape>
                      <o:OLEObject Type="Embed" ProgID="Visio.Drawing.15" ShapeID="_x0000_i1025" DrawAspect="Content" ObjectID="_1701769410" r:id="rId9"/>
                    </w:object>
                  </w:r>
                </w:p>
                <w:p w:rsidR="00F332D6" w:rsidRPr="002B7485" w:rsidRDefault="00F332D6" w:rsidP="002B7485">
                  <w:pPr>
                    <w:rPr>
                      <w:color w:val="000000"/>
                      <w:sz w:val="18"/>
                      <w:vertAlign w:val="subscript"/>
                    </w:rPr>
                  </w:pPr>
                  <w:r w:rsidRPr="002B7485">
                    <w:rPr>
                      <w:b/>
                      <w:sz w:val="18"/>
                    </w:rPr>
                    <w:t xml:space="preserve">Условные обозначения: </w:t>
                  </w:r>
                  <w:proofErr w:type="gramStart"/>
                  <w:r w:rsidRPr="002B7485">
                    <w:rPr>
                      <w:color w:val="000000"/>
                      <w:sz w:val="18"/>
                    </w:rPr>
                    <w:t xml:space="preserve">ВДС – валовая добавленная стоимость; ОП – обрабатывающие производства; </w:t>
                  </w:r>
                  <w:r w:rsidRPr="002B7485">
                    <w:rPr>
                      <w:color w:val="000000"/>
                      <w:sz w:val="18"/>
                      <w:lang w:val="en-US"/>
                    </w:rPr>
                    <w:t>Y</w:t>
                  </w:r>
                  <w:r w:rsidRPr="002B7485">
                    <w:rPr>
                      <w:color w:val="000000"/>
                      <w:sz w:val="18"/>
                    </w:rPr>
                    <w:t xml:space="preserve"> – </w:t>
                  </w:r>
                  <w:r w:rsidRPr="002B7485">
                    <w:rPr>
                      <w:color w:val="000000"/>
                      <w:spacing w:val="-6"/>
                      <w:sz w:val="18"/>
                    </w:rPr>
                    <w:t>хара</w:t>
                  </w:r>
                  <w:r w:rsidRPr="002B7485">
                    <w:rPr>
                      <w:color w:val="000000"/>
                      <w:spacing w:val="-6"/>
                      <w:sz w:val="18"/>
                    </w:rPr>
                    <w:t>к</w:t>
                  </w:r>
                  <w:r w:rsidRPr="002B7485">
                    <w:rPr>
                      <w:color w:val="000000"/>
                      <w:spacing w:val="-6"/>
                      <w:sz w:val="18"/>
                    </w:rPr>
                    <w:t>теристика ВРП (раскрывается показателями:</w:t>
                  </w:r>
                  <w:proofErr w:type="gramEnd"/>
                  <w:r w:rsidRPr="002B7485">
                    <w:rPr>
                      <w:color w:val="000000"/>
                      <w:spacing w:val="-6"/>
                      <w:sz w:val="18"/>
                    </w:rPr>
                    <w:t xml:space="preserve"> ВРП на душу населения (</w:t>
                  </w:r>
                  <w:r w:rsidRPr="002B7485">
                    <w:rPr>
                      <w:color w:val="000000"/>
                      <w:spacing w:val="-6"/>
                      <w:sz w:val="18"/>
                      <w:lang w:val="en-US"/>
                    </w:rPr>
                    <w:t>Y</w:t>
                  </w:r>
                  <w:r w:rsidRPr="002B7485">
                    <w:rPr>
                      <w:color w:val="000000"/>
                      <w:spacing w:val="-6"/>
                      <w:sz w:val="18"/>
                    </w:rPr>
                    <w:t>уд</w:t>
                  </w:r>
                  <w:proofErr w:type="gramStart"/>
                  <w:r w:rsidRPr="002B7485">
                    <w:rPr>
                      <w:color w:val="000000"/>
                      <w:spacing w:val="-6"/>
                      <w:sz w:val="18"/>
                    </w:rPr>
                    <w:t>)(</w:t>
                  </w:r>
                  <w:proofErr w:type="gramEnd"/>
                  <w:r w:rsidRPr="002B7485">
                    <w:rPr>
                      <w:color w:val="000000"/>
                      <w:spacing w:val="-6"/>
                      <w:sz w:val="18"/>
                    </w:rPr>
                    <w:t xml:space="preserve">п. 1.1), ВДС отраслей ОП в </w:t>
                  </w:r>
                  <w:r>
                    <w:rPr>
                      <w:color w:val="000000"/>
                      <w:spacing w:val="-6"/>
                      <w:sz w:val="18"/>
                    </w:rPr>
                    <w:t> %</w:t>
                  </w:r>
                  <w:r w:rsidRPr="002B7485">
                    <w:rPr>
                      <w:color w:val="000000"/>
                      <w:spacing w:val="-6"/>
                      <w:sz w:val="18"/>
                    </w:rPr>
                    <w:t xml:space="preserve"> к ВРП (</w:t>
                  </w:r>
                  <w:r w:rsidRPr="002B7485">
                    <w:rPr>
                      <w:color w:val="000000"/>
                      <w:spacing w:val="-6"/>
                      <w:sz w:val="18"/>
                      <w:lang w:val="en-US"/>
                    </w:rPr>
                    <w:t>Y</w:t>
                  </w:r>
                  <w:r w:rsidRPr="002B7485">
                    <w:rPr>
                      <w:color w:val="000000"/>
                      <w:spacing w:val="-6"/>
                      <w:sz w:val="18"/>
                    </w:rPr>
                    <w:t>оп) (</w:t>
                  </w:r>
                  <w:proofErr w:type="spellStart"/>
                  <w:r w:rsidRPr="002B7485">
                    <w:rPr>
                      <w:color w:val="000000"/>
                      <w:spacing w:val="-6"/>
                      <w:sz w:val="18"/>
                    </w:rPr>
                    <w:t>пп</w:t>
                  </w:r>
                  <w:proofErr w:type="spellEnd"/>
                  <w:r w:rsidRPr="002B7485">
                    <w:rPr>
                      <w:color w:val="000000"/>
                      <w:spacing w:val="-6"/>
                      <w:sz w:val="18"/>
                    </w:rPr>
                    <w:t xml:space="preserve">. 9.4, 9.1)); R – рентабельность продукции в отраслях ОП (п. 13.13); </w:t>
                  </w:r>
                  <w:r w:rsidRPr="002B7485">
                    <w:rPr>
                      <w:color w:val="000000"/>
                      <w:spacing w:val="-10"/>
                      <w:sz w:val="18"/>
                    </w:rPr>
                    <w:t xml:space="preserve">P </w:t>
                  </w:r>
                  <w:r>
                    <w:rPr>
                      <w:color w:val="000000"/>
                      <w:sz w:val="18"/>
                    </w:rPr>
                    <w:t>–</w:t>
                  </w:r>
                  <w:r w:rsidRPr="002B7485">
                    <w:rPr>
                      <w:color w:val="000000"/>
                      <w:sz w:val="18"/>
                    </w:rPr>
                    <w:t xml:space="preserve"> </w:t>
                  </w:r>
                  <w:r w:rsidRPr="002B7485">
                    <w:rPr>
                      <w:color w:val="000000"/>
                      <w:spacing w:val="-10"/>
                      <w:sz w:val="18"/>
                    </w:rPr>
                    <w:t>ср.</w:t>
                  </w:r>
                  <w:r>
                    <w:rPr>
                      <w:color w:val="000000"/>
                      <w:spacing w:val="-10"/>
                      <w:sz w:val="18"/>
                    </w:rPr>
                    <w:t xml:space="preserve"> </w:t>
                  </w:r>
                  <w:r w:rsidRPr="002B7485">
                    <w:rPr>
                      <w:color w:val="000000"/>
                      <w:spacing w:val="-10"/>
                      <w:sz w:val="18"/>
                    </w:rPr>
                    <w:t xml:space="preserve">месячная </w:t>
                  </w:r>
                  <w:proofErr w:type="spellStart"/>
                  <w:r w:rsidRPr="002B7485">
                    <w:rPr>
                      <w:color w:val="000000"/>
                      <w:spacing w:val="-10"/>
                      <w:sz w:val="18"/>
                    </w:rPr>
                    <w:t>зар</w:t>
                  </w:r>
                  <w:proofErr w:type="spellEnd"/>
                  <w:r>
                    <w:rPr>
                      <w:color w:val="000000"/>
                      <w:spacing w:val="-10"/>
                      <w:sz w:val="18"/>
                    </w:rPr>
                    <w:t xml:space="preserve">. </w:t>
                  </w:r>
                  <w:r w:rsidRPr="002B7485">
                    <w:rPr>
                      <w:color w:val="000000"/>
                      <w:spacing w:val="-10"/>
                      <w:sz w:val="18"/>
                    </w:rPr>
                    <w:t xml:space="preserve">плата, по региону в целом (п. 1.1); </w:t>
                  </w:r>
                  <w:r w:rsidRPr="002B7485">
                    <w:rPr>
                      <w:color w:val="000000"/>
                      <w:sz w:val="18"/>
                      <w:lang w:val="en-US"/>
                    </w:rPr>
                    <w:t>Inv</w:t>
                  </w:r>
                  <w:r w:rsidRPr="002B7485">
                    <w:rPr>
                      <w:color w:val="000000"/>
                      <w:sz w:val="18"/>
                    </w:rPr>
                    <w:t xml:space="preserve"> </w:t>
                  </w:r>
                  <w:r w:rsidRPr="002B7485">
                    <w:rPr>
                      <w:color w:val="000000"/>
                      <w:spacing w:val="-6"/>
                      <w:sz w:val="18"/>
                    </w:rPr>
                    <w:t>–</w:t>
                  </w:r>
                  <w:r w:rsidRPr="002B7485">
                    <w:rPr>
                      <w:color w:val="000000"/>
                      <w:sz w:val="18"/>
                    </w:rPr>
                    <w:t xml:space="preserve"> характеристика инвестиционной активности в отраслях ОП (инвестиции в основной капитал в </w:t>
                  </w:r>
                  <w:r>
                    <w:rPr>
                      <w:color w:val="000000"/>
                      <w:sz w:val="18"/>
                    </w:rPr>
                    <w:t> %</w:t>
                  </w:r>
                  <w:r w:rsidRPr="002B7485">
                    <w:rPr>
                      <w:color w:val="000000"/>
                      <w:sz w:val="18"/>
                    </w:rPr>
                    <w:t xml:space="preserve"> к его о</w:t>
                  </w:r>
                  <w:r w:rsidRPr="002B7485">
                    <w:rPr>
                      <w:color w:val="000000"/>
                      <w:sz w:val="18"/>
                    </w:rPr>
                    <w:t>б</w:t>
                  </w:r>
                  <w:r w:rsidRPr="002B7485">
                    <w:rPr>
                      <w:color w:val="000000"/>
                      <w:sz w:val="18"/>
                    </w:rPr>
                    <w:t>щей стоимости в отраслях ОП (</w:t>
                  </w:r>
                  <w:proofErr w:type="spellStart"/>
                  <w:r w:rsidRPr="002B7485">
                    <w:rPr>
                      <w:color w:val="000000"/>
                      <w:sz w:val="18"/>
                    </w:rPr>
                    <w:t>пп</w:t>
                  </w:r>
                  <w:proofErr w:type="spellEnd"/>
                  <w:r w:rsidRPr="002B7485">
                    <w:rPr>
                      <w:color w:val="000000"/>
                      <w:sz w:val="18"/>
                    </w:rPr>
                    <w:t xml:space="preserve">. 10.7, 11.2)); </w:t>
                  </w:r>
                  <w:r w:rsidRPr="002B7485">
                    <w:rPr>
                      <w:color w:val="000000"/>
                      <w:spacing w:val="-10"/>
                      <w:sz w:val="18"/>
                    </w:rPr>
                    <w:t xml:space="preserve">L </w:t>
                  </w:r>
                  <w:r>
                    <w:rPr>
                      <w:color w:val="000000"/>
                      <w:sz w:val="18"/>
                    </w:rPr>
                    <w:t>–</w:t>
                  </w:r>
                  <w:r w:rsidRPr="002B7485">
                    <w:rPr>
                      <w:color w:val="000000"/>
                      <w:sz w:val="18"/>
                    </w:rPr>
                    <w:t xml:space="preserve"> </w:t>
                  </w:r>
                  <w:r w:rsidRPr="002B7485">
                    <w:rPr>
                      <w:color w:val="000000"/>
                      <w:spacing w:val="-10"/>
                      <w:sz w:val="18"/>
                    </w:rPr>
                    <w:t>ср.</w:t>
                  </w:r>
                  <w:r>
                    <w:rPr>
                      <w:color w:val="000000"/>
                      <w:spacing w:val="-10"/>
                      <w:sz w:val="18"/>
                    </w:rPr>
                    <w:t xml:space="preserve"> </w:t>
                  </w:r>
                  <w:r w:rsidRPr="002B7485">
                    <w:rPr>
                      <w:color w:val="000000"/>
                      <w:spacing w:val="-10"/>
                      <w:sz w:val="18"/>
                    </w:rPr>
                    <w:t>год</w:t>
                  </w:r>
                  <w:proofErr w:type="gramStart"/>
                  <w:r w:rsidRPr="002B7485">
                    <w:rPr>
                      <w:color w:val="000000"/>
                      <w:spacing w:val="-10"/>
                      <w:sz w:val="18"/>
                    </w:rPr>
                    <w:t>.</w:t>
                  </w:r>
                  <w:proofErr w:type="gramEnd"/>
                  <w:r w:rsidRPr="002B7485">
                    <w:rPr>
                      <w:color w:val="000000"/>
                      <w:spacing w:val="-10"/>
                      <w:sz w:val="18"/>
                    </w:rPr>
                    <w:t xml:space="preserve"> </w:t>
                  </w:r>
                  <w:proofErr w:type="spellStart"/>
                  <w:proofErr w:type="gramStart"/>
                  <w:r w:rsidRPr="002B7485">
                    <w:rPr>
                      <w:color w:val="000000"/>
                      <w:spacing w:val="-10"/>
                      <w:sz w:val="18"/>
                    </w:rPr>
                    <w:t>ч</w:t>
                  </w:r>
                  <w:proofErr w:type="gramEnd"/>
                  <w:r w:rsidRPr="002B7485">
                    <w:rPr>
                      <w:color w:val="000000"/>
                      <w:spacing w:val="-10"/>
                      <w:sz w:val="18"/>
                    </w:rPr>
                    <w:t>исл-ть</w:t>
                  </w:r>
                  <w:proofErr w:type="spellEnd"/>
                  <w:r w:rsidRPr="002B7485">
                    <w:rPr>
                      <w:color w:val="000000"/>
                      <w:spacing w:val="-10"/>
                      <w:sz w:val="18"/>
                    </w:rPr>
                    <w:t xml:space="preserve"> занятых в отраслях ОП к общей численности занятых в регионе (</w:t>
                  </w:r>
                  <w:proofErr w:type="spellStart"/>
                  <w:r w:rsidRPr="002B7485">
                    <w:rPr>
                      <w:color w:val="000000"/>
                      <w:spacing w:val="-10"/>
                      <w:sz w:val="18"/>
                    </w:rPr>
                    <w:t>пп</w:t>
                  </w:r>
                  <w:proofErr w:type="spellEnd"/>
                  <w:r w:rsidRPr="002B7485">
                    <w:rPr>
                      <w:color w:val="000000"/>
                      <w:spacing w:val="-10"/>
                      <w:sz w:val="18"/>
                    </w:rPr>
                    <w:t>. 3.5, 1.1); C</w:t>
                  </w:r>
                  <w:r w:rsidRPr="002B7485">
                    <w:rPr>
                      <w:color w:val="000000"/>
                      <w:spacing w:val="-10"/>
                      <w:sz w:val="18"/>
                      <w:vertAlign w:val="subscript"/>
                    </w:rPr>
                    <w:t>RD</w:t>
                  </w:r>
                  <w:r w:rsidRPr="002B7485">
                    <w:rPr>
                      <w:color w:val="000000"/>
                      <w:spacing w:val="-10"/>
                      <w:sz w:val="18"/>
                    </w:rPr>
                    <w:t xml:space="preserve"> </w:t>
                  </w:r>
                  <w:r w:rsidRPr="002B7485">
                    <w:rPr>
                      <w:color w:val="000000"/>
                      <w:sz w:val="18"/>
                    </w:rPr>
                    <w:t xml:space="preserve">– </w:t>
                  </w:r>
                  <w:r w:rsidRPr="002B7485">
                    <w:rPr>
                      <w:color w:val="000000"/>
                      <w:spacing w:val="-10"/>
                      <w:sz w:val="18"/>
                    </w:rPr>
                    <w:t xml:space="preserve">расходы на НИОКТР в </w:t>
                  </w:r>
                  <w:r>
                    <w:rPr>
                      <w:color w:val="000000"/>
                      <w:spacing w:val="-10"/>
                      <w:sz w:val="18"/>
                    </w:rPr>
                    <w:t> %</w:t>
                  </w:r>
                  <w:r w:rsidRPr="002B7485">
                    <w:rPr>
                      <w:color w:val="000000"/>
                      <w:spacing w:val="-10"/>
                      <w:sz w:val="18"/>
                    </w:rPr>
                    <w:t xml:space="preserve"> к ВРП (</w:t>
                  </w:r>
                  <w:proofErr w:type="spellStart"/>
                  <w:r w:rsidRPr="002B7485">
                    <w:rPr>
                      <w:color w:val="000000"/>
                      <w:spacing w:val="-10"/>
                      <w:sz w:val="18"/>
                    </w:rPr>
                    <w:t>пп</w:t>
                  </w:r>
                  <w:proofErr w:type="spellEnd"/>
                  <w:r w:rsidRPr="002B7485">
                    <w:rPr>
                      <w:color w:val="000000"/>
                      <w:spacing w:val="-10"/>
                      <w:sz w:val="18"/>
                    </w:rPr>
                    <w:t xml:space="preserve">. 19.17, 1.1); </w:t>
                  </w:r>
                  <w:proofErr w:type="spellStart"/>
                  <w:r w:rsidRPr="002B7485">
                    <w:rPr>
                      <w:color w:val="000000"/>
                      <w:spacing w:val="-8"/>
                      <w:sz w:val="18"/>
                    </w:rPr>
                    <w:t>L</w:t>
                  </w:r>
                  <w:r w:rsidRPr="002B7485">
                    <w:rPr>
                      <w:color w:val="000000"/>
                      <w:spacing w:val="-8"/>
                      <w:sz w:val="18"/>
                      <w:vertAlign w:val="subscript"/>
                    </w:rPr>
                    <w:t>RD</w:t>
                  </w:r>
                  <w:proofErr w:type="spellEnd"/>
                  <w:r w:rsidRPr="002B7485">
                    <w:rPr>
                      <w:color w:val="000000"/>
                      <w:spacing w:val="-8"/>
                      <w:sz w:val="18"/>
                    </w:rPr>
                    <w:t xml:space="preserve"> </w:t>
                  </w:r>
                  <w:r>
                    <w:rPr>
                      <w:color w:val="000000"/>
                      <w:spacing w:val="-8"/>
                      <w:sz w:val="18"/>
                    </w:rPr>
                    <w:t>–</w:t>
                  </w:r>
                  <w:r w:rsidRPr="002B7485">
                    <w:rPr>
                      <w:color w:val="000000"/>
                      <w:spacing w:val="-8"/>
                      <w:sz w:val="18"/>
                    </w:rPr>
                    <w:t xml:space="preserve"> </w:t>
                  </w:r>
                  <w:proofErr w:type="spellStart"/>
                  <w:r w:rsidRPr="002B7485">
                    <w:rPr>
                      <w:color w:val="000000"/>
                      <w:spacing w:val="-8"/>
                      <w:sz w:val="18"/>
                    </w:rPr>
                    <w:t>числ-ть</w:t>
                  </w:r>
                  <w:proofErr w:type="spellEnd"/>
                  <w:r w:rsidRPr="002B7485">
                    <w:rPr>
                      <w:color w:val="000000"/>
                      <w:spacing w:val="-8"/>
                      <w:sz w:val="18"/>
                    </w:rPr>
                    <w:t xml:space="preserve"> исследователей в </w:t>
                  </w:r>
                  <w:r>
                    <w:rPr>
                      <w:color w:val="000000"/>
                      <w:spacing w:val="-8"/>
                      <w:sz w:val="18"/>
                    </w:rPr>
                    <w:t> %</w:t>
                  </w:r>
                  <w:r w:rsidRPr="002B7485">
                    <w:rPr>
                      <w:color w:val="000000"/>
                      <w:spacing w:val="-8"/>
                      <w:sz w:val="18"/>
                    </w:rPr>
                    <w:t xml:space="preserve"> к общей занят</w:t>
                  </w:r>
                  <w:r w:rsidRPr="002B7485">
                    <w:rPr>
                      <w:color w:val="000000"/>
                      <w:spacing w:val="-8"/>
                      <w:sz w:val="18"/>
                    </w:rPr>
                    <w:t>о</w:t>
                  </w:r>
                  <w:r w:rsidRPr="002B7485">
                    <w:rPr>
                      <w:color w:val="000000"/>
                      <w:spacing w:val="-8"/>
                      <w:sz w:val="18"/>
                    </w:rPr>
                    <w:t>сти в регионе (</w:t>
                  </w:r>
                  <w:proofErr w:type="spellStart"/>
                  <w:r w:rsidRPr="002B7485">
                    <w:rPr>
                      <w:color w:val="000000"/>
                      <w:spacing w:val="-8"/>
                      <w:sz w:val="18"/>
                    </w:rPr>
                    <w:t>пп</w:t>
                  </w:r>
                  <w:proofErr w:type="spellEnd"/>
                  <w:r w:rsidRPr="002B7485">
                    <w:rPr>
                      <w:color w:val="000000"/>
                      <w:spacing w:val="-8"/>
                      <w:sz w:val="18"/>
                    </w:rPr>
                    <w:t xml:space="preserve">. 19.2, 1.1); </w:t>
                  </w:r>
                  <w:proofErr w:type="spellStart"/>
                  <w:r w:rsidRPr="002B7485">
                    <w:rPr>
                      <w:color w:val="000000"/>
                      <w:sz w:val="18"/>
                      <w:lang w:val="en-US"/>
                    </w:rPr>
                    <w:t>Y</w:t>
                  </w:r>
                  <w:r w:rsidRPr="002B7485">
                    <w:rPr>
                      <w:color w:val="000000"/>
                      <w:sz w:val="18"/>
                      <w:vertAlign w:val="subscript"/>
                      <w:lang w:val="en-US"/>
                    </w:rPr>
                    <w:t>inn</w:t>
                  </w:r>
                  <w:proofErr w:type="spellEnd"/>
                  <w:r w:rsidRPr="002B7485">
                    <w:rPr>
                      <w:color w:val="000000"/>
                      <w:sz w:val="18"/>
                    </w:rPr>
                    <w:t xml:space="preserve"> – объем </w:t>
                  </w:r>
                  <w:r w:rsidRPr="00707825">
                    <w:rPr>
                      <w:color w:val="000000"/>
                      <w:sz w:val="18"/>
                    </w:rPr>
                    <w:t>инн</w:t>
                  </w:r>
                  <w:r w:rsidR="00A80DF4" w:rsidRPr="00707825">
                    <w:rPr>
                      <w:color w:val="000000"/>
                      <w:sz w:val="18"/>
                    </w:rPr>
                    <w:t>овационных</w:t>
                  </w:r>
                  <w:r w:rsidRPr="00707825">
                    <w:rPr>
                      <w:color w:val="000000"/>
                      <w:sz w:val="18"/>
                    </w:rPr>
                    <w:t xml:space="preserve"> товаров в  % от объема отгруженной продукции (</w:t>
                  </w:r>
                  <w:proofErr w:type="spellStart"/>
                  <w:r w:rsidRPr="00707825">
                    <w:rPr>
                      <w:color w:val="000000"/>
                      <w:sz w:val="18"/>
                    </w:rPr>
                    <w:t>пп</w:t>
                  </w:r>
                  <w:proofErr w:type="spellEnd"/>
                  <w:r w:rsidRPr="00707825">
                    <w:rPr>
                      <w:color w:val="000000"/>
                      <w:sz w:val="18"/>
                    </w:rPr>
                    <w:t xml:space="preserve">. 19.18); </w:t>
                  </w:r>
                  <w:proofErr w:type="spellStart"/>
                  <w:proofErr w:type="gramStart"/>
                  <w:r w:rsidRPr="00707825">
                    <w:rPr>
                      <w:color w:val="000000"/>
                      <w:sz w:val="18"/>
                      <w:lang w:val="en-US"/>
                    </w:rPr>
                    <w:t>SD</w:t>
                  </w:r>
                  <w:r w:rsidRPr="00707825">
                    <w:rPr>
                      <w:color w:val="000000"/>
                      <w:sz w:val="18"/>
                      <w:vertAlign w:val="subscript"/>
                      <w:lang w:val="en-US"/>
                    </w:rPr>
                    <w:t>ind</w:t>
                  </w:r>
                  <w:proofErr w:type="spellEnd"/>
                  <w:r w:rsidRPr="00707825">
                    <w:rPr>
                      <w:color w:val="000000"/>
                      <w:sz w:val="18"/>
                      <w:vertAlign w:val="subscript"/>
                    </w:rPr>
                    <w:t>(</w:t>
                  </w:r>
                  <w:proofErr w:type="gramEnd"/>
                  <w:r w:rsidRPr="00707825">
                    <w:rPr>
                      <w:color w:val="000000"/>
                      <w:sz w:val="18"/>
                      <w:vertAlign w:val="subscript"/>
                    </w:rPr>
                    <w:t>9)</w:t>
                  </w:r>
                  <w:r w:rsidRPr="00707825">
                    <w:rPr>
                      <w:color w:val="000000"/>
                      <w:sz w:val="18"/>
                    </w:rPr>
                    <w:t xml:space="preserve"> – уровень устойчивого развития региона</w:t>
                  </w:r>
                  <w:r w:rsidR="00A80DF4" w:rsidRPr="00707825">
                    <w:rPr>
                      <w:color w:val="000000"/>
                      <w:sz w:val="18"/>
                    </w:rPr>
                    <w:t xml:space="preserve"> </w:t>
                  </w:r>
                  <w:r w:rsidR="00A80DF4" w:rsidRPr="00707825">
                    <w:rPr>
                      <w:sz w:val="19"/>
                      <w:szCs w:val="19"/>
                    </w:rPr>
                    <w:t>в сфере</w:t>
                  </w:r>
                  <w:r w:rsidRPr="00707825">
                    <w:rPr>
                      <w:color w:val="000000"/>
                      <w:sz w:val="18"/>
                    </w:rPr>
                    <w:t xml:space="preserve"> индустри</w:t>
                  </w:r>
                  <w:r w:rsidR="00A80DF4" w:rsidRPr="00707825">
                    <w:rPr>
                      <w:color w:val="000000"/>
                      <w:sz w:val="18"/>
                    </w:rPr>
                    <w:t>и</w:t>
                  </w:r>
                  <w:r w:rsidRPr="00707825">
                    <w:rPr>
                      <w:color w:val="000000"/>
                      <w:sz w:val="18"/>
                    </w:rPr>
                    <w:t xml:space="preserve"> и инноваци</w:t>
                  </w:r>
                  <w:r w:rsidR="00A80DF4" w:rsidRPr="00707825">
                    <w:rPr>
                      <w:color w:val="000000"/>
                      <w:sz w:val="18"/>
                    </w:rPr>
                    <w:t>й</w:t>
                  </w:r>
                  <w:r w:rsidRPr="002B7485">
                    <w:rPr>
                      <w:color w:val="000000"/>
                      <w:sz w:val="18"/>
                    </w:rPr>
                    <w:t xml:space="preserve">; </w:t>
                  </w:r>
                  <w:proofErr w:type="spellStart"/>
                  <w:r w:rsidRPr="002B7485">
                    <w:rPr>
                      <w:color w:val="000000"/>
                      <w:sz w:val="18"/>
                      <w:lang w:val="en-US"/>
                    </w:rPr>
                    <w:t>SD</w:t>
                  </w:r>
                  <w:r w:rsidRPr="002B7485">
                    <w:rPr>
                      <w:color w:val="000000"/>
                      <w:sz w:val="18"/>
                      <w:vertAlign w:val="superscript"/>
                      <w:lang w:val="en-US"/>
                    </w:rPr>
                    <w:t>e</w:t>
                  </w:r>
                  <w:r w:rsidRPr="002B7485">
                    <w:rPr>
                      <w:color w:val="000000"/>
                      <w:sz w:val="18"/>
                      <w:vertAlign w:val="subscript"/>
                      <w:lang w:val="en-US"/>
                    </w:rPr>
                    <w:t>ind</w:t>
                  </w:r>
                  <w:proofErr w:type="spellEnd"/>
                  <w:r w:rsidRPr="002B7485">
                    <w:rPr>
                      <w:color w:val="000000"/>
                      <w:sz w:val="18"/>
                      <w:vertAlign w:val="subscript"/>
                    </w:rPr>
                    <w:t>(9)</w:t>
                  </w:r>
                  <w:r w:rsidRPr="002B7485">
                    <w:rPr>
                      <w:color w:val="000000"/>
                      <w:sz w:val="18"/>
                    </w:rPr>
                    <w:t xml:space="preserve"> – общеэкономический компонент показателя </w:t>
                  </w:r>
                  <w:proofErr w:type="spellStart"/>
                  <w:r w:rsidRPr="002B7485">
                    <w:rPr>
                      <w:color w:val="000000"/>
                      <w:sz w:val="18"/>
                      <w:lang w:val="en-US"/>
                    </w:rPr>
                    <w:t>SD</w:t>
                  </w:r>
                  <w:r w:rsidRPr="002B7485">
                    <w:rPr>
                      <w:color w:val="000000"/>
                      <w:sz w:val="18"/>
                      <w:vertAlign w:val="subscript"/>
                      <w:lang w:val="en-US"/>
                    </w:rPr>
                    <w:t>ind</w:t>
                  </w:r>
                  <w:proofErr w:type="spellEnd"/>
                  <w:r w:rsidRPr="002B7485">
                    <w:rPr>
                      <w:color w:val="000000"/>
                      <w:sz w:val="18"/>
                      <w:vertAlign w:val="subscript"/>
                    </w:rPr>
                    <w:t xml:space="preserve">(9); </w:t>
                  </w:r>
                  <w:proofErr w:type="spellStart"/>
                  <w:r w:rsidRPr="002B7485">
                    <w:rPr>
                      <w:color w:val="000000"/>
                      <w:sz w:val="18"/>
                      <w:lang w:val="en-US"/>
                    </w:rPr>
                    <w:t>SD</w:t>
                  </w:r>
                  <w:r w:rsidRPr="002B7485">
                    <w:rPr>
                      <w:color w:val="000000"/>
                      <w:sz w:val="18"/>
                      <w:vertAlign w:val="superscript"/>
                      <w:lang w:val="en-US"/>
                    </w:rPr>
                    <w:t>inn</w:t>
                  </w:r>
                  <w:r w:rsidRPr="002B7485">
                    <w:rPr>
                      <w:color w:val="000000"/>
                      <w:sz w:val="18"/>
                      <w:vertAlign w:val="subscript"/>
                      <w:lang w:val="en-US"/>
                    </w:rPr>
                    <w:t>ind</w:t>
                  </w:r>
                  <w:proofErr w:type="spellEnd"/>
                  <w:r w:rsidRPr="002B7485">
                    <w:rPr>
                      <w:color w:val="000000"/>
                      <w:sz w:val="18"/>
                      <w:vertAlign w:val="subscript"/>
                    </w:rPr>
                    <w:t>(9)</w:t>
                  </w:r>
                  <w:r w:rsidRPr="002B7485">
                    <w:rPr>
                      <w:color w:val="000000"/>
                      <w:sz w:val="18"/>
                    </w:rPr>
                    <w:t xml:space="preserve"> – инновационный комп</w:t>
                  </w:r>
                  <w:bookmarkStart w:id="2" w:name="_GoBack"/>
                  <w:bookmarkEnd w:id="2"/>
                  <w:r w:rsidRPr="002B7485">
                    <w:rPr>
                      <w:color w:val="000000"/>
                      <w:sz w:val="18"/>
                    </w:rPr>
                    <w:t xml:space="preserve">онент показателя </w:t>
                  </w:r>
                  <w:proofErr w:type="spellStart"/>
                  <w:r w:rsidRPr="002B7485">
                    <w:rPr>
                      <w:color w:val="000000"/>
                      <w:sz w:val="18"/>
                      <w:lang w:val="en-US"/>
                    </w:rPr>
                    <w:t>SD</w:t>
                  </w:r>
                  <w:r w:rsidRPr="002B7485">
                    <w:rPr>
                      <w:color w:val="000000"/>
                      <w:sz w:val="18"/>
                      <w:vertAlign w:val="subscript"/>
                      <w:lang w:val="en-US"/>
                    </w:rPr>
                    <w:t>ind</w:t>
                  </w:r>
                  <w:proofErr w:type="spellEnd"/>
                  <w:r w:rsidRPr="002B7485">
                    <w:rPr>
                      <w:color w:val="000000"/>
                      <w:sz w:val="18"/>
                      <w:vertAlign w:val="subscript"/>
                    </w:rPr>
                    <w:t>(9)</w:t>
                  </w:r>
                </w:p>
                <w:p w:rsidR="00F332D6" w:rsidRDefault="00F332D6" w:rsidP="002B7485">
                  <w:pPr>
                    <w:ind w:firstLine="397"/>
                  </w:pPr>
                </w:p>
                <w:p w:rsidR="00F332D6" w:rsidRPr="002B7485" w:rsidRDefault="00F332D6" w:rsidP="002B7485">
                  <w:pPr>
                    <w:jc w:val="center"/>
                    <w:rPr>
                      <w:rFonts w:ascii="Arial" w:hAnsi="Arial" w:cs="Arial"/>
                      <w:b/>
                      <w:sz w:val="16"/>
                    </w:rPr>
                  </w:pPr>
                  <w:r w:rsidRPr="002B7485">
                    <w:rPr>
                      <w:rFonts w:ascii="Arial" w:hAnsi="Arial" w:cs="Arial"/>
                      <w:b/>
                      <w:sz w:val="16"/>
                    </w:rPr>
                    <w:t xml:space="preserve">Рис. 1. Структурная модель декомпозиции национальных показателей ЦУР </w:t>
                  </w:r>
                  <w:r w:rsidRPr="002B7485">
                    <w:rPr>
                      <w:rFonts w:ascii="Arial" w:eastAsiaTheme="minorEastAsia" w:hAnsi="Arial" w:cs="Arial"/>
                      <w:b/>
                      <w:sz w:val="16"/>
                    </w:rPr>
                    <w:t>«</w:t>
                  </w:r>
                  <w:r w:rsidRPr="002B7485">
                    <w:rPr>
                      <w:rFonts w:ascii="Arial" w:hAnsi="Arial" w:cs="Arial"/>
                      <w:b/>
                      <w:sz w:val="16"/>
                    </w:rPr>
                    <w:t xml:space="preserve">Создание стойкой </w:t>
                  </w:r>
                  <w:r>
                    <w:rPr>
                      <w:rFonts w:ascii="Arial" w:hAnsi="Arial" w:cs="Arial"/>
                      <w:b/>
                      <w:sz w:val="16"/>
                    </w:rPr>
                    <w:br/>
                  </w:r>
                  <w:r w:rsidRPr="002B7485">
                    <w:rPr>
                      <w:rFonts w:ascii="Arial" w:hAnsi="Arial" w:cs="Arial"/>
                      <w:b/>
                      <w:sz w:val="16"/>
                    </w:rPr>
                    <w:t xml:space="preserve">инфраструктуры, содействие всеохватной и устойчивой индустриализации и инновациям» </w:t>
                  </w:r>
                  <w:r>
                    <w:rPr>
                      <w:rFonts w:ascii="Arial" w:hAnsi="Arial" w:cs="Arial"/>
                      <w:b/>
                      <w:sz w:val="16"/>
                    </w:rPr>
                    <w:br/>
                  </w:r>
                  <w:r w:rsidRPr="002B7485">
                    <w:rPr>
                      <w:rFonts w:ascii="Arial" w:hAnsi="Arial" w:cs="Arial"/>
                      <w:b/>
                      <w:sz w:val="16"/>
                    </w:rPr>
                    <w:t>(в региональном аспекте)</w:t>
                  </w:r>
                </w:p>
                <w:p w:rsidR="00F332D6" w:rsidRDefault="00F332D6" w:rsidP="002B7485">
                  <w:pPr>
                    <w:jc w:val="center"/>
                    <w:rPr>
                      <w:rFonts w:ascii="Arial" w:hAnsi="Arial" w:cs="Arial"/>
                      <w:b/>
                      <w:sz w:val="16"/>
                    </w:rPr>
                  </w:pPr>
                </w:p>
                <w:p w:rsidR="00F332D6" w:rsidRPr="002B7485" w:rsidRDefault="00F332D6" w:rsidP="002B7485">
                  <w:pPr>
                    <w:spacing w:after="120"/>
                    <w:jc w:val="center"/>
                    <w:rPr>
                      <w:rFonts w:ascii="Arial" w:hAnsi="Arial" w:cs="Arial"/>
                      <w:b/>
                      <w:sz w:val="16"/>
                    </w:rPr>
                  </w:pPr>
                  <w:r w:rsidRPr="002B7485">
                    <w:rPr>
                      <w:rFonts w:ascii="Arial" w:hAnsi="Arial" w:cs="Arial"/>
                      <w:b/>
                      <w:sz w:val="16"/>
                    </w:rPr>
                    <w:t xml:space="preserve">Показатели устойчивого развития регионов в сфере индустриализации и инноваций </w:t>
                  </w:r>
                  <w:r>
                    <w:rPr>
                      <w:rFonts w:ascii="Arial" w:hAnsi="Arial" w:cs="Arial"/>
                      <w:b/>
                      <w:sz w:val="16"/>
                    </w:rPr>
                    <w:br/>
                  </w:r>
                  <w:r w:rsidRPr="002B7485">
                    <w:rPr>
                      <w:rFonts w:ascii="Arial" w:hAnsi="Arial" w:cs="Arial"/>
                      <w:b/>
                      <w:sz w:val="16"/>
                    </w:rPr>
                    <w:t>(на примере Приволжского федерального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13"/>
                    <w:gridCol w:w="777"/>
                    <w:gridCol w:w="852"/>
                    <w:gridCol w:w="852"/>
                    <w:gridCol w:w="1009"/>
                    <w:gridCol w:w="852"/>
                    <w:gridCol w:w="852"/>
                    <w:gridCol w:w="852"/>
                    <w:gridCol w:w="852"/>
                  </w:tblGrid>
                  <w:tr w:rsidR="00F332D6" w:rsidRPr="002B7485" w:rsidTr="002B7485">
                    <w:trPr>
                      <w:trHeight w:val="227"/>
                    </w:trPr>
                    <w:tc>
                      <w:tcPr>
                        <w:tcW w:w="1130" w:type="pct"/>
                        <w:shd w:val="clear" w:color="auto" w:fill="auto"/>
                        <w:vAlign w:val="center"/>
                        <w:hideMark/>
                      </w:tcPr>
                      <w:p w:rsidR="00F332D6" w:rsidRPr="002B7485" w:rsidRDefault="00F332D6" w:rsidP="002B7485">
                        <w:pPr>
                          <w:spacing w:line="216" w:lineRule="auto"/>
                          <w:jc w:val="center"/>
                          <w:rPr>
                            <w:color w:val="000000"/>
                            <w:sz w:val="19"/>
                            <w:szCs w:val="19"/>
                          </w:rPr>
                        </w:pPr>
                        <w:r w:rsidRPr="002B7485">
                          <w:rPr>
                            <w:color w:val="000000"/>
                            <w:sz w:val="19"/>
                            <w:szCs w:val="19"/>
                          </w:rPr>
                          <w:t>Регионы</w:t>
                        </w:r>
                      </w:p>
                    </w:tc>
                    <w:tc>
                      <w:tcPr>
                        <w:tcW w:w="436" w:type="pct"/>
                        <w:shd w:val="clear" w:color="auto" w:fill="auto"/>
                        <w:vAlign w:val="center"/>
                        <w:hideMark/>
                      </w:tcPr>
                      <w:p w:rsidR="00F332D6" w:rsidRPr="002B7485" w:rsidRDefault="00F332D6" w:rsidP="002B7485">
                        <w:pPr>
                          <w:spacing w:line="216" w:lineRule="auto"/>
                          <w:jc w:val="center"/>
                          <w:rPr>
                            <w:color w:val="000000"/>
                            <w:sz w:val="19"/>
                            <w:szCs w:val="19"/>
                          </w:rPr>
                        </w:pPr>
                        <w:r w:rsidRPr="002B7485">
                          <w:rPr>
                            <w:color w:val="000000"/>
                            <w:sz w:val="19"/>
                            <w:szCs w:val="19"/>
                          </w:rPr>
                          <w:t>ВРП на душу насел</w:t>
                        </w:r>
                        <w:r w:rsidRPr="002B7485">
                          <w:rPr>
                            <w:color w:val="000000"/>
                            <w:sz w:val="19"/>
                            <w:szCs w:val="19"/>
                          </w:rPr>
                          <w:t>е</w:t>
                        </w:r>
                        <w:r w:rsidRPr="002B7485">
                          <w:rPr>
                            <w:color w:val="000000"/>
                            <w:sz w:val="19"/>
                            <w:szCs w:val="19"/>
                          </w:rPr>
                          <w:t xml:space="preserve">ния, </w:t>
                        </w:r>
                        <w:proofErr w:type="gramStart"/>
                        <w:r w:rsidRPr="002B7485">
                          <w:rPr>
                            <w:color w:val="000000"/>
                            <w:sz w:val="19"/>
                            <w:szCs w:val="19"/>
                          </w:rPr>
                          <w:t>млн</w:t>
                        </w:r>
                        <w:proofErr w:type="gramEnd"/>
                        <w:r w:rsidRPr="002B7485">
                          <w:rPr>
                            <w:color w:val="000000"/>
                            <w:sz w:val="19"/>
                            <w:szCs w:val="19"/>
                          </w:rPr>
                          <w:t xml:space="preserve"> руб./ чел.</w:t>
                        </w:r>
                      </w:p>
                    </w:tc>
                    <w:tc>
                      <w:tcPr>
                        <w:tcW w:w="478" w:type="pct"/>
                        <w:shd w:val="clear" w:color="auto" w:fill="auto"/>
                        <w:vAlign w:val="center"/>
                        <w:hideMark/>
                      </w:tcPr>
                      <w:p w:rsidR="00F332D6" w:rsidRPr="002B7485" w:rsidRDefault="00F332D6" w:rsidP="002B7485">
                        <w:pPr>
                          <w:spacing w:line="216" w:lineRule="auto"/>
                          <w:jc w:val="center"/>
                          <w:rPr>
                            <w:color w:val="000000"/>
                            <w:sz w:val="19"/>
                            <w:szCs w:val="19"/>
                          </w:rPr>
                        </w:pPr>
                        <w:r w:rsidRPr="002B7485">
                          <w:rPr>
                            <w:color w:val="000000"/>
                            <w:sz w:val="19"/>
                            <w:szCs w:val="19"/>
                          </w:rPr>
                          <w:t>ВДС о</w:t>
                        </w:r>
                        <w:r w:rsidRPr="002B7485">
                          <w:rPr>
                            <w:color w:val="000000"/>
                            <w:sz w:val="19"/>
                            <w:szCs w:val="19"/>
                          </w:rPr>
                          <w:t>т</w:t>
                        </w:r>
                        <w:r w:rsidRPr="002B7485">
                          <w:rPr>
                            <w:color w:val="000000"/>
                            <w:sz w:val="19"/>
                            <w:szCs w:val="19"/>
                          </w:rPr>
                          <w:t xml:space="preserve">раслей ОП </w:t>
                        </w:r>
                        <w:proofErr w:type="gramStart"/>
                        <w:r w:rsidRPr="002B7485">
                          <w:rPr>
                            <w:color w:val="000000"/>
                            <w:sz w:val="19"/>
                            <w:szCs w:val="19"/>
                          </w:rPr>
                          <w:t>в</w:t>
                        </w:r>
                        <w:proofErr w:type="gramEnd"/>
                        <w:r>
                          <w:rPr>
                            <w:color w:val="000000"/>
                            <w:sz w:val="19"/>
                            <w:szCs w:val="19"/>
                          </w:rPr>
                          <w:t> %</w:t>
                        </w:r>
                        <w:r w:rsidRPr="002B7485">
                          <w:rPr>
                            <w:color w:val="000000"/>
                            <w:sz w:val="19"/>
                            <w:szCs w:val="19"/>
                          </w:rPr>
                          <w:t xml:space="preserve"> к ВРП</w:t>
                        </w:r>
                      </w:p>
                    </w:tc>
                    <w:tc>
                      <w:tcPr>
                        <w:tcW w:w="478" w:type="pct"/>
                        <w:shd w:val="clear" w:color="auto" w:fill="auto"/>
                        <w:vAlign w:val="center"/>
                        <w:hideMark/>
                      </w:tcPr>
                      <w:p w:rsidR="00F332D6" w:rsidRPr="002B7485" w:rsidRDefault="00F332D6" w:rsidP="002B7485">
                        <w:pPr>
                          <w:spacing w:line="216" w:lineRule="auto"/>
                          <w:jc w:val="center"/>
                          <w:rPr>
                            <w:color w:val="000000"/>
                            <w:sz w:val="19"/>
                            <w:szCs w:val="19"/>
                          </w:rPr>
                        </w:pPr>
                        <w:proofErr w:type="spellStart"/>
                        <w:proofErr w:type="gramStart"/>
                        <w:r w:rsidRPr="002B7485">
                          <w:rPr>
                            <w:color w:val="000000"/>
                            <w:sz w:val="19"/>
                            <w:szCs w:val="19"/>
                          </w:rPr>
                          <w:t>Числ-ть</w:t>
                        </w:r>
                        <w:proofErr w:type="spellEnd"/>
                        <w:r w:rsidRPr="002B7485">
                          <w:rPr>
                            <w:color w:val="000000"/>
                            <w:sz w:val="19"/>
                            <w:szCs w:val="19"/>
                          </w:rPr>
                          <w:t xml:space="preserve"> занятых в отраслях ОП к общей числе</w:t>
                        </w:r>
                        <w:r w:rsidRPr="002B7485">
                          <w:rPr>
                            <w:color w:val="000000"/>
                            <w:sz w:val="19"/>
                            <w:szCs w:val="19"/>
                          </w:rPr>
                          <w:t>н</w:t>
                        </w:r>
                        <w:r w:rsidRPr="002B7485">
                          <w:rPr>
                            <w:color w:val="000000"/>
                            <w:sz w:val="19"/>
                            <w:szCs w:val="19"/>
                          </w:rPr>
                          <w:t>ности занятых в рег</w:t>
                        </w:r>
                        <w:r w:rsidRPr="002B7485">
                          <w:rPr>
                            <w:color w:val="000000"/>
                            <w:sz w:val="19"/>
                            <w:szCs w:val="19"/>
                          </w:rPr>
                          <w:t>и</w:t>
                        </w:r>
                        <w:r w:rsidRPr="002B7485">
                          <w:rPr>
                            <w:color w:val="000000"/>
                            <w:sz w:val="19"/>
                            <w:szCs w:val="19"/>
                          </w:rPr>
                          <w:t>он,</w:t>
                        </w:r>
                        <w:r>
                          <w:rPr>
                            <w:color w:val="000000"/>
                            <w:sz w:val="19"/>
                            <w:szCs w:val="19"/>
                          </w:rPr>
                          <w:t> %</w:t>
                        </w:r>
                        <w:proofErr w:type="gramEnd"/>
                      </w:p>
                    </w:tc>
                    <w:tc>
                      <w:tcPr>
                        <w:tcW w:w="566" w:type="pct"/>
                        <w:shd w:val="clear" w:color="auto" w:fill="auto"/>
                        <w:vAlign w:val="center"/>
                        <w:hideMark/>
                      </w:tcPr>
                      <w:p w:rsidR="00F332D6" w:rsidRPr="002B7485" w:rsidRDefault="00F332D6" w:rsidP="002B7485">
                        <w:pPr>
                          <w:spacing w:line="216" w:lineRule="auto"/>
                          <w:jc w:val="center"/>
                          <w:rPr>
                            <w:color w:val="000000"/>
                            <w:sz w:val="19"/>
                            <w:szCs w:val="19"/>
                          </w:rPr>
                        </w:pPr>
                        <w:proofErr w:type="gramStart"/>
                        <w:r w:rsidRPr="002B7485">
                          <w:rPr>
                            <w:color w:val="000000"/>
                            <w:sz w:val="19"/>
                            <w:szCs w:val="19"/>
                          </w:rPr>
                          <w:t>Инвест</w:t>
                        </w:r>
                        <w:r w:rsidRPr="002B7485">
                          <w:rPr>
                            <w:color w:val="000000"/>
                            <w:sz w:val="19"/>
                            <w:szCs w:val="19"/>
                          </w:rPr>
                          <w:t>и</w:t>
                        </w:r>
                        <w:r w:rsidRPr="002B7485">
                          <w:rPr>
                            <w:color w:val="000000"/>
                            <w:sz w:val="19"/>
                            <w:szCs w:val="19"/>
                          </w:rPr>
                          <w:t>ции в о</w:t>
                        </w:r>
                        <w:r w:rsidRPr="002B7485">
                          <w:rPr>
                            <w:color w:val="000000"/>
                            <w:sz w:val="19"/>
                            <w:szCs w:val="19"/>
                          </w:rPr>
                          <w:t>с</w:t>
                        </w:r>
                        <w:r w:rsidRPr="002B7485">
                          <w:rPr>
                            <w:color w:val="000000"/>
                            <w:sz w:val="19"/>
                            <w:szCs w:val="19"/>
                          </w:rPr>
                          <w:t>новной капитал в</w:t>
                        </w:r>
                        <w:r>
                          <w:rPr>
                            <w:color w:val="000000"/>
                            <w:sz w:val="19"/>
                            <w:szCs w:val="19"/>
                          </w:rPr>
                          <w:t> %</w:t>
                        </w:r>
                        <w:r w:rsidRPr="002B7485">
                          <w:rPr>
                            <w:color w:val="000000"/>
                            <w:sz w:val="19"/>
                            <w:szCs w:val="19"/>
                          </w:rPr>
                          <w:t xml:space="preserve"> к его общей стоимости в отраслях ОП</w:t>
                        </w:r>
                        <w:proofErr w:type="gramEnd"/>
                      </w:p>
                    </w:tc>
                    <w:tc>
                      <w:tcPr>
                        <w:tcW w:w="478" w:type="pct"/>
                        <w:shd w:val="clear" w:color="auto" w:fill="auto"/>
                        <w:vAlign w:val="center"/>
                        <w:hideMark/>
                      </w:tcPr>
                      <w:p w:rsidR="00F332D6" w:rsidRPr="002B7485" w:rsidRDefault="00F332D6" w:rsidP="002B7485">
                        <w:pPr>
                          <w:spacing w:line="216" w:lineRule="auto"/>
                          <w:jc w:val="center"/>
                          <w:rPr>
                            <w:color w:val="000000"/>
                            <w:sz w:val="19"/>
                            <w:szCs w:val="19"/>
                          </w:rPr>
                        </w:pPr>
                        <w:proofErr w:type="spellStart"/>
                        <w:proofErr w:type="gramStart"/>
                        <w:r w:rsidRPr="002B7485">
                          <w:rPr>
                            <w:color w:val="000000"/>
                            <w:sz w:val="19"/>
                            <w:szCs w:val="19"/>
                          </w:rPr>
                          <w:t>Рент</w:t>
                        </w:r>
                        <w:r w:rsidRPr="002B7485">
                          <w:rPr>
                            <w:color w:val="000000"/>
                            <w:sz w:val="19"/>
                            <w:szCs w:val="19"/>
                          </w:rPr>
                          <w:t>а</w:t>
                        </w:r>
                        <w:r w:rsidRPr="002B7485">
                          <w:rPr>
                            <w:color w:val="000000"/>
                            <w:sz w:val="19"/>
                            <w:szCs w:val="19"/>
                          </w:rPr>
                          <w:t>бель-ность</w:t>
                        </w:r>
                        <w:proofErr w:type="spellEnd"/>
                        <w:proofErr w:type="gramEnd"/>
                        <w:r w:rsidRPr="002B7485">
                          <w:rPr>
                            <w:color w:val="000000"/>
                            <w:sz w:val="19"/>
                            <w:szCs w:val="19"/>
                          </w:rPr>
                          <w:t xml:space="preserve"> проду</w:t>
                        </w:r>
                        <w:r w:rsidRPr="002B7485">
                          <w:rPr>
                            <w:color w:val="000000"/>
                            <w:sz w:val="19"/>
                            <w:szCs w:val="19"/>
                          </w:rPr>
                          <w:t>к</w:t>
                        </w:r>
                        <w:r w:rsidRPr="002B7485">
                          <w:rPr>
                            <w:color w:val="000000"/>
                            <w:sz w:val="19"/>
                            <w:szCs w:val="19"/>
                          </w:rPr>
                          <w:t>ции в отраслях ОП,</w:t>
                        </w:r>
                        <w:r>
                          <w:rPr>
                            <w:color w:val="000000"/>
                            <w:sz w:val="19"/>
                            <w:szCs w:val="19"/>
                          </w:rPr>
                          <w:t> %</w:t>
                        </w:r>
                      </w:p>
                    </w:tc>
                    <w:tc>
                      <w:tcPr>
                        <w:tcW w:w="478" w:type="pct"/>
                        <w:shd w:val="clear" w:color="auto" w:fill="auto"/>
                        <w:vAlign w:val="center"/>
                        <w:hideMark/>
                      </w:tcPr>
                      <w:p w:rsidR="00F332D6" w:rsidRPr="002B7485" w:rsidRDefault="00F332D6" w:rsidP="002B7485">
                        <w:pPr>
                          <w:spacing w:line="216" w:lineRule="auto"/>
                          <w:jc w:val="center"/>
                          <w:rPr>
                            <w:color w:val="000000"/>
                            <w:sz w:val="19"/>
                            <w:szCs w:val="19"/>
                          </w:rPr>
                        </w:pPr>
                        <w:r w:rsidRPr="002B7485">
                          <w:rPr>
                            <w:color w:val="000000"/>
                            <w:sz w:val="19"/>
                            <w:szCs w:val="19"/>
                          </w:rPr>
                          <w:t xml:space="preserve">Расходы на НИОКТР </w:t>
                        </w:r>
                        <w:proofErr w:type="gramStart"/>
                        <w:r w:rsidRPr="002B7485">
                          <w:rPr>
                            <w:color w:val="000000"/>
                            <w:sz w:val="19"/>
                            <w:szCs w:val="19"/>
                          </w:rPr>
                          <w:t>в</w:t>
                        </w:r>
                        <w:proofErr w:type="gramEnd"/>
                        <w:r>
                          <w:rPr>
                            <w:color w:val="000000"/>
                            <w:sz w:val="19"/>
                            <w:szCs w:val="19"/>
                          </w:rPr>
                          <w:t> %</w:t>
                        </w:r>
                        <w:r w:rsidRPr="002B7485">
                          <w:rPr>
                            <w:color w:val="000000"/>
                            <w:sz w:val="19"/>
                            <w:szCs w:val="19"/>
                          </w:rPr>
                          <w:t xml:space="preserve"> к ВРП</w:t>
                        </w:r>
                      </w:p>
                    </w:tc>
                    <w:tc>
                      <w:tcPr>
                        <w:tcW w:w="478" w:type="pct"/>
                        <w:shd w:val="clear" w:color="auto" w:fill="auto"/>
                        <w:vAlign w:val="center"/>
                        <w:hideMark/>
                      </w:tcPr>
                      <w:p w:rsidR="00F332D6" w:rsidRPr="002B7485" w:rsidRDefault="00F332D6" w:rsidP="002B7485">
                        <w:pPr>
                          <w:spacing w:line="216" w:lineRule="auto"/>
                          <w:jc w:val="center"/>
                          <w:rPr>
                            <w:color w:val="000000"/>
                            <w:sz w:val="19"/>
                            <w:szCs w:val="19"/>
                          </w:rPr>
                        </w:pPr>
                        <w:proofErr w:type="spellStart"/>
                        <w:proofErr w:type="gramStart"/>
                        <w:r w:rsidRPr="002B7485">
                          <w:rPr>
                            <w:color w:val="000000"/>
                            <w:sz w:val="19"/>
                            <w:szCs w:val="19"/>
                          </w:rPr>
                          <w:t>Числ-ть</w:t>
                        </w:r>
                        <w:proofErr w:type="spellEnd"/>
                        <w:r w:rsidRPr="002B7485">
                          <w:rPr>
                            <w:color w:val="000000"/>
                            <w:sz w:val="19"/>
                            <w:szCs w:val="19"/>
                          </w:rPr>
                          <w:t xml:space="preserve"> </w:t>
                        </w:r>
                        <w:proofErr w:type="spellStart"/>
                        <w:r w:rsidRPr="002B7485">
                          <w:rPr>
                            <w:color w:val="000000"/>
                            <w:sz w:val="19"/>
                            <w:szCs w:val="19"/>
                          </w:rPr>
                          <w:t>исследо-вателей</w:t>
                        </w:r>
                        <w:proofErr w:type="spellEnd"/>
                        <w:r w:rsidRPr="002B7485">
                          <w:rPr>
                            <w:color w:val="000000"/>
                            <w:sz w:val="19"/>
                            <w:szCs w:val="19"/>
                          </w:rPr>
                          <w:t xml:space="preserve"> в</w:t>
                        </w:r>
                        <w:r>
                          <w:rPr>
                            <w:color w:val="000000"/>
                            <w:sz w:val="19"/>
                            <w:szCs w:val="19"/>
                          </w:rPr>
                          <w:t> %</w:t>
                        </w:r>
                        <w:r w:rsidRPr="002B7485">
                          <w:rPr>
                            <w:color w:val="000000"/>
                            <w:sz w:val="19"/>
                            <w:szCs w:val="19"/>
                          </w:rPr>
                          <w:t xml:space="preserve"> к общей занятости в регионе</w:t>
                        </w:r>
                        <w:proofErr w:type="gramEnd"/>
                      </w:p>
                    </w:tc>
                    <w:tc>
                      <w:tcPr>
                        <w:tcW w:w="478" w:type="pct"/>
                        <w:shd w:val="clear" w:color="auto" w:fill="auto"/>
                        <w:vAlign w:val="center"/>
                        <w:hideMark/>
                      </w:tcPr>
                      <w:p w:rsidR="00F332D6" w:rsidRPr="002B7485" w:rsidRDefault="00F332D6" w:rsidP="002B7485">
                        <w:pPr>
                          <w:spacing w:line="216" w:lineRule="auto"/>
                          <w:jc w:val="center"/>
                          <w:rPr>
                            <w:color w:val="000000"/>
                            <w:sz w:val="19"/>
                            <w:szCs w:val="19"/>
                          </w:rPr>
                        </w:pPr>
                        <w:r w:rsidRPr="00707825">
                          <w:rPr>
                            <w:color w:val="000000"/>
                            <w:sz w:val="19"/>
                            <w:szCs w:val="19"/>
                          </w:rPr>
                          <w:t xml:space="preserve">Объем </w:t>
                        </w:r>
                        <w:proofErr w:type="gramStart"/>
                        <w:r w:rsidR="00A80DF4" w:rsidRPr="00707825">
                          <w:rPr>
                            <w:color w:val="000000"/>
                            <w:sz w:val="19"/>
                            <w:szCs w:val="19"/>
                          </w:rPr>
                          <w:t>иннов</w:t>
                        </w:r>
                        <w:r w:rsidR="00A80DF4" w:rsidRPr="00707825">
                          <w:rPr>
                            <w:color w:val="000000"/>
                            <w:sz w:val="19"/>
                            <w:szCs w:val="19"/>
                          </w:rPr>
                          <w:t>а</w:t>
                        </w:r>
                        <w:r w:rsidR="00A80DF4" w:rsidRPr="00707825">
                          <w:rPr>
                            <w:color w:val="000000"/>
                            <w:sz w:val="19"/>
                            <w:szCs w:val="19"/>
                          </w:rPr>
                          <w:t>ционных</w:t>
                        </w:r>
                        <w:proofErr w:type="gramEnd"/>
                      </w:p>
                      <w:p w:rsidR="00F332D6" w:rsidRPr="002B7485" w:rsidRDefault="00F332D6" w:rsidP="002B7485">
                        <w:pPr>
                          <w:spacing w:line="216" w:lineRule="auto"/>
                          <w:jc w:val="center"/>
                          <w:rPr>
                            <w:color w:val="000000"/>
                            <w:sz w:val="19"/>
                            <w:szCs w:val="19"/>
                          </w:rPr>
                        </w:pPr>
                        <w:r w:rsidRPr="002B7485">
                          <w:rPr>
                            <w:color w:val="000000"/>
                            <w:sz w:val="19"/>
                            <w:szCs w:val="19"/>
                          </w:rPr>
                          <w:t xml:space="preserve">товаров </w:t>
                        </w:r>
                        <w:proofErr w:type="gramStart"/>
                        <w:r w:rsidRPr="002B7485">
                          <w:rPr>
                            <w:color w:val="000000"/>
                            <w:sz w:val="19"/>
                            <w:szCs w:val="19"/>
                          </w:rPr>
                          <w:t>в</w:t>
                        </w:r>
                        <w:proofErr w:type="gramEnd"/>
                        <w:r>
                          <w:rPr>
                            <w:color w:val="000000"/>
                            <w:sz w:val="19"/>
                            <w:szCs w:val="19"/>
                          </w:rPr>
                          <w:t> %</w:t>
                        </w:r>
                        <w:r w:rsidRPr="002B7485">
                          <w:rPr>
                            <w:color w:val="000000"/>
                            <w:sz w:val="19"/>
                            <w:szCs w:val="19"/>
                          </w:rPr>
                          <w:t xml:space="preserve"> </w:t>
                        </w:r>
                        <w:proofErr w:type="gramStart"/>
                        <w:r w:rsidRPr="002B7485">
                          <w:rPr>
                            <w:color w:val="000000"/>
                            <w:sz w:val="19"/>
                            <w:szCs w:val="19"/>
                          </w:rPr>
                          <w:t>от</w:t>
                        </w:r>
                        <w:proofErr w:type="gramEnd"/>
                        <w:r w:rsidRPr="002B7485">
                          <w:rPr>
                            <w:color w:val="000000"/>
                            <w:sz w:val="19"/>
                            <w:szCs w:val="19"/>
                          </w:rPr>
                          <w:t xml:space="preserve"> объема </w:t>
                        </w:r>
                        <w:proofErr w:type="spellStart"/>
                        <w:r w:rsidRPr="002B7485">
                          <w:rPr>
                            <w:color w:val="000000"/>
                            <w:sz w:val="19"/>
                            <w:szCs w:val="19"/>
                          </w:rPr>
                          <w:t>отгру-женной</w:t>
                        </w:r>
                        <w:proofErr w:type="spellEnd"/>
                        <w:r w:rsidRPr="002B7485">
                          <w:rPr>
                            <w:color w:val="000000"/>
                            <w:sz w:val="19"/>
                            <w:szCs w:val="19"/>
                          </w:rPr>
                          <w:t xml:space="preserve"> проду</w:t>
                        </w:r>
                        <w:r w:rsidRPr="002B7485">
                          <w:rPr>
                            <w:color w:val="000000"/>
                            <w:sz w:val="19"/>
                            <w:szCs w:val="19"/>
                          </w:rPr>
                          <w:t>к</w:t>
                        </w:r>
                        <w:r w:rsidRPr="002B7485">
                          <w:rPr>
                            <w:color w:val="000000"/>
                            <w:sz w:val="19"/>
                            <w:szCs w:val="19"/>
                          </w:rPr>
                          <w:t>ции</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 xml:space="preserve">(1) </w:t>
                        </w:r>
                        <w:proofErr w:type="spellStart"/>
                        <w:r w:rsidRPr="002B7485">
                          <w:rPr>
                            <w:color w:val="000000"/>
                            <w:sz w:val="19"/>
                            <w:szCs w:val="19"/>
                          </w:rPr>
                          <w:t>Респ</w:t>
                        </w:r>
                        <w:proofErr w:type="spellEnd"/>
                        <w:r w:rsidRPr="002B7485">
                          <w:rPr>
                            <w:color w:val="000000"/>
                            <w:sz w:val="19"/>
                            <w:szCs w:val="19"/>
                          </w:rPr>
                          <w:t>. Башкортостан</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414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27,4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6,7</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10,5</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11,30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1,7</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0,46</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6,50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 xml:space="preserve">(2) </w:t>
                        </w:r>
                        <w:proofErr w:type="spellStart"/>
                        <w:r w:rsidRPr="002B7485">
                          <w:rPr>
                            <w:color w:val="000000"/>
                            <w:sz w:val="19"/>
                            <w:szCs w:val="19"/>
                          </w:rPr>
                          <w:t>Респ</w:t>
                        </w:r>
                        <w:proofErr w:type="spellEnd"/>
                        <w:r w:rsidRPr="002B7485">
                          <w:rPr>
                            <w:color w:val="000000"/>
                            <w:sz w:val="19"/>
                            <w:szCs w:val="19"/>
                          </w:rPr>
                          <w:t>. Марий Эл</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262</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29,7</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8,8</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7,1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6,80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0,5</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0,07</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10,60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 xml:space="preserve">(3) </w:t>
                        </w:r>
                        <w:proofErr w:type="spellStart"/>
                        <w:r w:rsidRPr="002B7485">
                          <w:rPr>
                            <w:color w:val="000000"/>
                            <w:sz w:val="19"/>
                            <w:szCs w:val="19"/>
                          </w:rPr>
                          <w:t>Респ</w:t>
                        </w:r>
                        <w:proofErr w:type="spellEnd"/>
                        <w:r w:rsidRPr="002B7485">
                          <w:rPr>
                            <w:color w:val="000000"/>
                            <w:sz w:val="19"/>
                            <w:szCs w:val="19"/>
                          </w:rPr>
                          <w:t>. Мордовия</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288</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25,5</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9,2</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8,4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7,90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3,6</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0,21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23,80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 xml:space="preserve">(4) </w:t>
                        </w:r>
                        <w:proofErr w:type="spellStart"/>
                        <w:r w:rsidRPr="002B7485">
                          <w:rPr>
                            <w:color w:val="000000"/>
                            <w:sz w:val="19"/>
                            <w:szCs w:val="19"/>
                          </w:rPr>
                          <w:t>Респ</w:t>
                        </w:r>
                        <w:proofErr w:type="spellEnd"/>
                        <w:r w:rsidRPr="002B7485">
                          <w:rPr>
                            <w:color w:val="000000"/>
                            <w:sz w:val="19"/>
                            <w:szCs w:val="19"/>
                          </w:rPr>
                          <w:t>. Татарстан</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633</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18,4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8,8</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10,4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5,70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4,3</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0,68</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18,10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 xml:space="preserve">(5) </w:t>
                        </w:r>
                        <w:proofErr w:type="spellStart"/>
                        <w:r w:rsidRPr="002B7485">
                          <w:rPr>
                            <w:color w:val="000000"/>
                            <w:sz w:val="19"/>
                            <w:szCs w:val="19"/>
                          </w:rPr>
                          <w:t>Респ</w:t>
                        </w:r>
                        <w:proofErr w:type="spellEnd"/>
                        <w:r w:rsidRPr="002B7485">
                          <w:rPr>
                            <w:color w:val="000000"/>
                            <w:sz w:val="19"/>
                            <w:szCs w:val="19"/>
                          </w:rPr>
                          <w:t>. Удмуртия</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420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21,3</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10,1</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9,3</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9,40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0,8</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0,30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10,40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 xml:space="preserve">(6) </w:t>
                        </w:r>
                        <w:proofErr w:type="spellStart"/>
                        <w:r w:rsidRPr="002B7485">
                          <w:rPr>
                            <w:color w:val="000000"/>
                            <w:sz w:val="19"/>
                            <w:szCs w:val="19"/>
                          </w:rPr>
                          <w:t>Респ</w:t>
                        </w:r>
                        <w:proofErr w:type="spellEnd"/>
                        <w:r w:rsidRPr="002B7485">
                          <w:rPr>
                            <w:color w:val="000000"/>
                            <w:sz w:val="19"/>
                            <w:szCs w:val="19"/>
                          </w:rPr>
                          <w:t>. Чувашия</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245</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26,1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9,0</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6,7</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14,50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3,1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0,29</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9,30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 xml:space="preserve">(7) Пермский </w:t>
                        </w:r>
                        <w:proofErr w:type="spellStart"/>
                        <w:r w:rsidRPr="002B7485">
                          <w:rPr>
                            <w:color w:val="000000"/>
                            <w:sz w:val="19"/>
                            <w:szCs w:val="19"/>
                          </w:rPr>
                          <w:t>кр</w:t>
                        </w:r>
                        <w:proofErr w:type="spellEnd"/>
                        <w:r w:rsidRPr="002B7485">
                          <w:rPr>
                            <w:color w:val="000000"/>
                            <w:sz w:val="19"/>
                            <w:szCs w:val="19"/>
                          </w:rPr>
                          <w:t>.</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507</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31,5</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9,5</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15,8</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22,80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0,90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12,00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(8) Кировская обл.</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263</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29,1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9,5</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8,2</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5,90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1,9</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0,27</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9,80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(9) Нижегородская обл.</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427</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30,8</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10,8</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11,5</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9,50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11,3</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2,55</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13,70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jc w:val="left"/>
                          <w:rPr>
                            <w:color w:val="000000"/>
                            <w:sz w:val="19"/>
                            <w:szCs w:val="19"/>
                          </w:rPr>
                        </w:pPr>
                        <w:r w:rsidRPr="002B7485">
                          <w:rPr>
                            <w:color w:val="000000"/>
                            <w:sz w:val="19"/>
                            <w:szCs w:val="19"/>
                          </w:rPr>
                          <w:t>(10) Оренбургская обл.</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511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13,2</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6,0</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4,6</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2,40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0,10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3,70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rPr>
                            <w:color w:val="000000"/>
                            <w:sz w:val="19"/>
                            <w:szCs w:val="19"/>
                          </w:rPr>
                        </w:pPr>
                        <w:r w:rsidRPr="002B7485">
                          <w:rPr>
                            <w:color w:val="000000"/>
                            <w:sz w:val="19"/>
                            <w:szCs w:val="19"/>
                          </w:rPr>
                          <w:t>(11) Пензенская обл.</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307</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20,0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9,1</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5,1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8,40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1,3</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0,98</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8,40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rPr>
                            <w:color w:val="000000"/>
                            <w:sz w:val="19"/>
                            <w:szCs w:val="19"/>
                          </w:rPr>
                        </w:pPr>
                        <w:r w:rsidRPr="002B7485">
                          <w:rPr>
                            <w:color w:val="000000"/>
                            <w:sz w:val="19"/>
                            <w:szCs w:val="19"/>
                          </w:rPr>
                          <w:t>(12) Самарская обл.</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475</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21,4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11,6</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8,1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7,60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3,4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0,60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9,30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rPr>
                            <w:color w:val="000000"/>
                            <w:sz w:val="19"/>
                            <w:szCs w:val="19"/>
                          </w:rPr>
                        </w:pPr>
                        <w:r w:rsidRPr="002B7485">
                          <w:rPr>
                            <w:color w:val="000000"/>
                            <w:sz w:val="19"/>
                            <w:szCs w:val="19"/>
                          </w:rPr>
                          <w:t>(13) Саратовская обл.</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294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20,2</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6,6</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5,4</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9,50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0,51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2,00</w:t>
                        </w:r>
                      </w:p>
                    </w:tc>
                  </w:tr>
                  <w:tr w:rsidR="00F332D6" w:rsidRPr="002B7485" w:rsidTr="002B7485">
                    <w:trPr>
                      <w:trHeight w:val="227"/>
                    </w:trPr>
                    <w:tc>
                      <w:tcPr>
                        <w:tcW w:w="1130" w:type="pct"/>
                        <w:shd w:val="clear" w:color="auto" w:fill="auto"/>
                        <w:noWrap/>
                        <w:vAlign w:val="center"/>
                        <w:hideMark/>
                      </w:tcPr>
                      <w:p w:rsidR="00F332D6" w:rsidRPr="002B7485" w:rsidRDefault="00F332D6" w:rsidP="002B7485">
                        <w:pPr>
                          <w:spacing w:before="20"/>
                          <w:rPr>
                            <w:color w:val="000000"/>
                            <w:sz w:val="19"/>
                            <w:szCs w:val="19"/>
                          </w:rPr>
                        </w:pPr>
                        <w:r w:rsidRPr="002B7485">
                          <w:rPr>
                            <w:color w:val="000000"/>
                            <w:sz w:val="19"/>
                            <w:szCs w:val="19"/>
                          </w:rPr>
                          <w:t>(14) Ульяновская обл.</w:t>
                        </w:r>
                      </w:p>
                    </w:tc>
                    <w:tc>
                      <w:tcPr>
                        <w:tcW w:w="43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283</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26,3</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11,2</w:t>
                        </w:r>
                      </w:p>
                    </w:tc>
                    <w:tc>
                      <w:tcPr>
                        <w:tcW w:w="566"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5,1</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8,00</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2,6</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0,89</w:t>
                        </w:r>
                      </w:p>
                    </w:tc>
                    <w:tc>
                      <w:tcPr>
                        <w:tcW w:w="478" w:type="pct"/>
                        <w:shd w:val="clear" w:color="auto" w:fill="auto"/>
                        <w:noWrap/>
                        <w:vAlign w:val="center"/>
                        <w:hideMark/>
                      </w:tcPr>
                      <w:p w:rsidR="00F332D6" w:rsidRPr="002B7485" w:rsidRDefault="00F332D6" w:rsidP="002B7485">
                        <w:pPr>
                          <w:spacing w:before="20"/>
                          <w:jc w:val="center"/>
                          <w:rPr>
                            <w:color w:val="000000"/>
                            <w:sz w:val="19"/>
                            <w:szCs w:val="19"/>
                          </w:rPr>
                        </w:pPr>
                        <w:r w:rsidRPr="002B7485">
                          <w:rPr>
                            <w:color w:val="000000"/>
                            <w:sz w:val="19"/>
                            <w:szCs w:val="19"/>
                          </w:rPr>
                          <w:t>11,00</w:t>
                        </w:r>
                      </w:p>
                    </w:tc>
                  </w:tr>
                </w:tbl>
                <w:p w:rsidR="00F332D6" w:rsidRPr="002B7485" w:rsidRDefault="00F332D6" w:rsidP="002B7485">
                  <w:pPr>
                    <w:ind w:firstLine="397"/>
                  </w:pPr>
                </w:p>
                <w:p w:rsidR="00F332D6" w:rsidRPr="002F5A22" w:rsidRDefault="00F332D6" w:rsidP="002B7485">
                  <w:pPr>
                    <w:adjustRightInd w:val="0"/>
                    <w:spacing w:line="204" w:lineRule="auto"/>
                    <w:rPr>
                      <w:color w:val="000000"/>
                    </w:rPr>
                  </w:pPr>
                </w:p>
              </w:txbxContent>
            </v:textbox>
            <w10:wrap type="topAndBottom"/>
          </v:shape>
        </w:pict>
      </w:r>
    </w:p>
    <w:p w:rsidR="002B7485" w:rsidRPr="002B7485" w:rsidRDefault="005201E1" w:rsidP="002B7485">
      <w:pPr>
        <w:ind w:firstLine="397"/>
        <w:rPr>
          <w:color w:val="000000"/>
        </w:rPr>
      </w:pPr>
      <w:r w:rsidRPr="005201E1">
        <w:rPr>
          <w:noProof/>
        </w:rPr>
        <w:lastRenderedPageBreak/>
        <w:pict>
          <v:shape id="_x0000_s1417" type="#_x0000_t202" style="position:absolute;left:0;text-align:left;margin-left:-1.9pt;margin-top:-1.65pt;width:465.5pt;height:201pt;z-index:251659264" stroked="f">
            <v:textbox>
              <w:txbxContent>
                <w:p w:rsidR="00F332D6" w:rsidRPr="002B7485" w:rsidRDefault="00F332D6" w:rsidP="002B7485">
                  <w:pPr>
                    <w:jc w:val="center"/>
                  </w:pPr>
                  <w:r w:rsidRPr="002B7485">
                    <w:rPr>
                      <w:noProof/>
                    </w:rPr>
                    <w:drawing>
                      <wp:inline distT="0" distB="0" distL="0" distR="0">
                        <wp:extent cx="4572000" cy="1976436"/>
                        <wp:effectExtent l="0" t="0" r="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32D6" w:rsidRPr="002B7485" w:rsidRDefault="00F332D6" w:rsidP="002B7485">
                  <w:pPr>
                    <w:jc w:val="center"/>
                    <w:rPr>
                      <w:rFonts w:ascii="Arial" w:hAnsi="Arial" w:cs="Arial"/>
                      <w:b/>
                      <w:sz w:val="16"/>
                    </w:rPr>
                  </w:pPr>
                </w:p>
                <w:p w:rsidR="00F332D6" w:rsidRPr="002B7485" w:rsidRDefault="00F332D6" w:rsidP="002B7485">
                  <w:pPr>
                    <w:jc w:val="center"/>
                    <w:rPr>
                      <w:rFonts w:ascii="Arial" w:hAnsi="Arial" w:cs="Arial"/>
                      <w:b/>
                      <w:sz w:val="16"/>
                    </w:rPr>
                  </w:pPr>
                  <w:r w:rsidRPr="002B7485">
                    <w:rPr>
                      <w:rFonts w:ascii="Arial" w:hAnsi="Arial" w:cs="Arial"/>
                      <w:b/>
                      <w:sz w:val="16"/>
                    </w:rPr>
                    <w:t xml:space="preserve">Рис. 2. Численные значения показателя </w:t>
                  </w:r>
                  <w:proofErr w:type="spellStart"/>
                  <w:r w:rsidRPr="002B7485">
                    <w:rPr>
                      <w:rFonts w:ascii="Arial" w:hAnsi="Arial" w:cs="Arial"/>
                      <w:b/>
                      <w:color w:val="000000"/>
                      <w:sz w:val="16"/>
                      <w:lang w:val="en-US"/>
                    </w:rPr>
                    <w:t>SD</w:t>
                  </w:r>
                  <w:r w:rsidRPr="002B7485">
                    <w:rPr>
                      <w:rFonts w:ascii="Arial" w:hAnsi="Arial" w:cs="Arial"/>
                      <w:b/>
                      <w:color w:val="000000"/>
                      <w:sz w:val="16"/>
                      <w:vertAlign w:val="subscript"/>
                      <w:lang w:val="en-US"/>
                    </w:rPr>
                    <w:t>ind</w:t>
                  </w:r>
                  <w:proofErr w:type="spellEnd"/>
                  <w:r w:rsidRPr="002B7485">
                    <w:rPr>
                      <w:rFonts w:ascii="Arial" w:hAnsi="Arial" w:cs="Arial"/>
                      <w:b/>
                      <w:color w:val="000000"/>
                      <w:sz w:val="16"/>
                      <w:vertAlign w:val="subscript"/>
                    </w:rPr>
                    <w:t>(9)</w:t>
                  </w:r>
                  <w:r w:rsidRPr="002B7485">
                    <w:rPr>
                      <w:rFonts w:ascii="Arial" w:hAnsi="Arial" w:cs="Arial"/>
                      <w:b/>
                      <w:color w:val="000000"/>
                      <w:sz w:val="16"/>
                    </w:rPr>
                    <w:t xml:space="preserve"> (</w:t>
                  </w:r>
                  <w:r w:rsidRPr="002B7485">
                    <w:rPr>
                      <w:rFonts w:ascii="Arial" w:hAnsi="Arial" w:cs="Arial"/>
                      <w:b/>
                      <w:sz w:val="16"/>
                    </w:rPr>
                    <w:t xml:space="preserve">по регионам </w:t>
                  </w:r>
                  <w:proofErr w:type="spellStart"/>
                  <w:r w:rsidRPr="002B7485">
                    <w:rPr>
                      <w:rFonts w:ascii="Arial" w:hAnsi="Arial" w:cs="Arial"/>
                      <w:b/>
                      <w:sz w:val="16"/>
                    </w:rPr>
                    <w:t>ПФО</w:t>
                  </w:r>
                  <w:proofErr w:type="spellEnd"/>
                  <w:r w:rsidRPr="002B7485">
                    <w:rPr>
                      <w:rFonts w:ascii="Arial" w:hAnsi="Arial" w:cs="Arial"/>
                      <w:b/>
                      <w:sz w:val="16"/>
                    </w:rPr>
                    <w:t xml:space="preserve">), полученные с помощью </w:t>
                  </w:r>
                  <w:r>
                    <w:rPr>
                      <w:rFonts w:ascii="Arial" w:hAnsi="Arial" w:cs="Arial"/>
                      <w:b/>
                      <w:sz w:val="16"/>
                    </w:rPr>
                    <w:br/>
                  </w:r>
                  <w:r w:rsidRPr="002B7485">
                    <w:rPr>
                      <w:rFonts w:ascii="Arial" w:hAnsi="Arial" w:cs="Arial"/>
                      <w:b/>
                      <w:sz w:val="16"/>
                    </w:rPr>
                    <w:t>адаптированного алгоритма НЛВ</w:t>
                  </w:r>
                </w:p>
                <w:p w:rsidR="00F332D6" w:rsidRDefault="00F332D6"/>
              </w:txbxContent>
            </v:textbox>
            <w10:wrap type="topAndBottom"/>
          </v:shape>
        </w:pict>
      </w:r>
      <w:r w:rsidR="002B7485" w:rsidRPr="002B7485">
        <w:t xml:space="preserve">Результаты численной оценки интегрального показателя </w:t>
      </w:r>
      <w:proofErr w:type="spellStart"/>
      <w:r w:rsidR="002B7485" w:rsidRPr="002B7485">
        <w:rPr>
          <w:color w:val="000000"/>
          <w:lang w:val="en-US"/>
        </w:rPr>
        <w:t>SD</w:t>
      </w:r>
      <w:r w:rsidR="002B7485" w:rsidRPr="002B7485">
        <w:rPr>
          <w:color w:val="000000"/>
          <w:vertAlign w:val="subscript"/>
          <w:lang w:val="en-US"/>
        </w:rPr>
        <w:t>ind</w:t>
      </w:r>
      <w:proofErr w:type="spellEnd"/>
      <w:r w:rsidR="002B7485" w:rsidRPr="002B7485">
        <w:rPr>
          <w:color w:val="000000"/>
          <w:vertAlign w:val="subscript"/>
        </w:rPr>
        <w:t xml:space="preserve">(9) </w:t>
      </w:r>
      <w:r w:rsidR="002B7485" w:rsidRPr="002B7485">
        <w:rPr>
          <w:color w:val="000000"/>
        </w:rPr>
        <w:t xml:space="preserve">для регионов </w:t>
      </w:r>
      <w:proofErr w:type="spellStart"/>
      <w:r w:rsidR="002B7485" w:rsidRPr="002B7485">
        <w:rPr>
          <w:color w:val="000000"/>
        </w:rPr>
        <w:t>ПФО</w:t>
      </w:r>
      <w:proofErr w:type="spellEnd"/>
      <w:r w:rsidR="002B7485" w:rsidRPr="002B7485">
        <w:rPr>
          <w:color w:val="000000"/>
        </w:rPr>
        <w:t xml:space="preserve"> позволяют сделать следующие заключения:</w:t>
      </w:r>
    </w:p>
    <w:p w:rsidR="002B7485" w:rsidRPr="002B7485" w:rsidRDefault="002B7485" w:rsidP="002B7485">
      <w:pPr>
        <w:ind w:firstLine="397"/>
        <w:rPr>
          <w:color w:val="000000"/>
        </w:rPr>
      </w:pPr>
      <w:r w:rsidRPr="002B7485">
        <w:rPr>
          <w:color w:val="000000"/>
        </w:rPr>
        <w:t xml:space="preserve">1. </w:t>
      </w:r>
      <w:proofErr w:type="gramStart"/>
      <w:r w:rsidRPr="002B7485">
        <w:rPr>
          <w:color w:val="000000"/>
        </w:rPr>
        <w:t xml:space="preserve">Регионы </w:t>
      </w:r>
      <w:proofErr w:type="spellStart"/>
      <w:r w:rsidRPr="002B7485">
        <w:rPr>
          <w:color w:val="000000"/>
        </w:rPr>
        <w:t>ПФО</w:t>
      </w:r>
      <w:proofErr w:type="spellEnd"/>
      <w:r w:rsidRPr="002B7485">
        <w:rPr>
          <w:color w:val="000000"/>
        </w:rPr>
        <w:t xml:space="preserve"> существенно дифференцир</w:t>
      </w:r>
      <w:r w:rsidRPr="002B7485">
        <w:rPr>
          <w:color w:val="000000"/>
        </w:rPr>
        <w:t>о</w:t>
      </w:r>
      <w:r w:rsidRPr="002B7485">
        <w:rPr>
          <w:color w:val="000000"/>
        </w:rPr>
        <w:t xml:space="preserve">ваны по уровню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(9)</w:t>
      </w:r>
      <w:r w:rsidRPr="002B7485">
        <w:rPr>
          <w:color w:val="000000"/>
        </w:rPr>
        <w:t>, что может быть объясн</w:t>
      </w:r>
      <w:r w:rsidRPr="002B7485">
        <w:rPr>
          <w:color w:val="000000"/>
        </w:rPr>
        <w:t>и</w:t>
      </w:r>
      <w:r w:rsidRPr="002B7485">
        <w:rPr>
          <w:color w:val="000000"/>
        </w:rPr>
        <w:t>мо, в первую очередь, различиями в отраслевой специализации: часть регионов ((3), (6), (8), (11), (13), (14)) нельзя отнести к промышленно орие</w:t>
      </w:r>
      <w:r w:rsidRPr="002B7485">
        <w:rPr>
          <w:color w:val="000000"/>
        </w:rPr>
        <w:t>н</w:t>
      </w:r>
      <w:r w:rsidRPr="002B7485">
        <w:rPr>
          <w:color w:val="000000"/>
        </w:rPr>
        <w:t>тированным, т. е. для характеристики этих реги</w:t>
      </w:r>
      <w:r w:rsidRPr="002B7485">
        <w:rPr>
          <w:color w:val="000000"/>
        </w:rPr>
        <w:t>о</w:t>
      </w:r>
      <w:r w:rsidRPr="002B7485">
        <w:rPr>
          <w:color w:val="000000"/>
        </w:rPr>
        <w:t>нов приоритетное значение приобретают иные цели устойчивого развития, предусмотренные Концепцией ООН [4].</w:t>
      </w:r>
      <w:proofErr w:type="gramEnd"/>
    </w:p>
    <w:p w:rsidR="002B7485" w:rsidRPr="002B7485" w:rsidRDefault="002B7485" w:rsidP="002B7485">
      <w:pPr>
        <w:ind w:firstLine="397"/>
        <w:rPr>
          <w:color w:val="000000"/>
        </w:rPr>
      </w:pPr>
      <w:r w:rsidRPr="002B7485">
        <w:rPr>
          <w:color w:val="000000"/>
        </w:rPr>
        <w:t xml:space="preserve">2. В составе промышленных регионов </w:t>
      </w:r>
      <w:proofErr w:type="spellStart"/>
      <w:r w:rsidRPr="002B7485">
        <w:rPr>
          <w:color w:val="000000"/>
        </w:rPr>
        <w:t>ПФО</w:t>
      </w:r>
      <w:proofErr w:type="spellEnd"/>
      <w:r w:rsidRPr="002B7485">
        <w:rPr>
          <w:color w:val="000000"/>
        </w:rPr>
        <w:t xml:space="preserve"> наиболее высокие оценки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 xml:space="preserve">(9) </w:t>
      </w:r>
      <w:r w:rsidRPr="002B7485">
        <w:rPr>
          <w:color w:val="000000"/>
        </w:rPr>
        <w:t>наблюдаются в регионах (4),(7),(9). Это в полной мере соответс</w:t>
      </w:r>
      <w:r w:rsidRPr="002B7485">
        <w:rPr>
          <w:color w:val="000000"/>
        </w:rPr>
        <w:t>т</w:t>
      </w:r>
      <w:r w:rsidRPr="002B7485">
        <w:rPr>
          <w:color w:val="000000"/>
        </w:rPr>
        <w:t>вует интенсивности промышленной и инновац</w:t>
      </w:r>
      <w:r w:rsidRPr="002B7485">
        <w:rPr>
          <w:color w:val="000000"/>
        </w:rPr>
        <w:t>и</w:t>
      </w:r>
      <w:r w:rsidRPr="002B7485">
        <w:rPr>
          <w:color w:val="000000"/>
        </w:rPr>
        <w:t>онной политики, реализуемой в этих регионах [20]. Следует отметить, что Пермский край хара</w:t>
      </w:r>
      <w:r w:rsidRPr="002B7485">
        <w:rPr>
          <w:color w:val="000000"/>
        </w:rPr>
        <w:t>к</w:t>
      </w:r>
      <w:r w:rsidRPr="002B7485">
        <w:rPr>
          <w:color w:val="000000"/>
        </w:rPr>
        <w:t xml:space="preserve">теризуется наибольшим значением показателя </w:t>
      </w:r>
      <w:proofErr w:type="spellStart"/>
      <w:r w:rsidRPr="002B7485">
        <w:rPr>
          <w:color w:val="000000"/>
          <w:lang w:val="en-US"/>
        </w:rPr>
        <w:t>SD</w:t>
      </w:r>
      <w:r w:rsidRPr="002B7485">
        <w:rPr>
          <w:color w:val="000000"/>
          <w:vertAlign w:val="superscript"/>
          <w:lang w:val="en-US"/>
        </w:rPr>
        <w:t>e</w:t>
      </w:r>
      <w:r w:rsidRPr="002B7485">
        <w:rPr>
          <w:color w:val="000000"/>
          <w:vertAlign w:val="subscript"/>
          <w:lang w:val="en-US"/>
        </w:rPr>
        <w:t>ind</w:t>
      </w:r>
      <w:proofErr w:type="spellEnd"/>
      <w:r w:rsidRPr="002B7485">
        <w:rPr>
          <w:color w:val="000000"/>
          <w:vertAlign w:val="subscript"/>
        </w:rPr>
        <w:t>(9)</w:t>
      </w:r>
      <w:r w:rsidRPr="002B7485">
        <w:rPr>
          <w:color w:val="000000"/>
        </w:rPr>
        <w:t xml:space="preserve"> (общий экономический компонент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(9</w:t>
      </w:r>
      <w:r w:rsidRPr="00707825">
        <w:rPr>
          <w:color w:val="000000"/>
          <w:vertAlign w:val="subscript"/>
        </w:rPr>
        <w:t>)</w:t>
      </w:r>
      <w:r w:rsidRPr="00707825">
        <w:rPr>
          <w:color w:val="000000"/>
        </w:rPr>
        <w:t>)</w:t>
      </w:r>
      <w:r w:rsidRPr="002B7485">
        <w:rPr>
          <w:color w:val="000000"/>
        </w:rPr>
        <w:t xml:space="preserve">, но значение интегрального показателя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 xml:space="preserve">(9) </w:t>
      </w:r>
      <w:r w:rsidRPr="002B7485">
        <w:rPr>
          <w:color w:val="000000"/>
        </w:rPr>
        <w:t>у этого региона ниже, чем у Нижегородской обла</w:t>
      </w:r>
      <w:r w:rsidRPr="002B7485">
        <w:rPr>
          <w:color w:val="000000"/>
        </w:rPr>
        <w:t>с</w:t>
      </w:r>
      <w:r w:rsidRPr="002B7485">
        <w:rPr>
          <w:color w:val="000000"/>
        </w:rPr>
        <w:t>ти; соотношение этих показателей позволяет с</w:t>
      </w:r>
      <w:r w:rsidRPr="002B7485">
        <w:rPr>
          <w:color w:val="000000"/>
        </w:rPr>
        <w:t>у</w:t>
      </w:r>
      <w:r w:rsidRPr="002B7485">
        <w:rPr>
          <w:color w:val="000000"/>
        </w:rPr>
        <w:t>дить о степени инновационной активности в р</w:t>
      </w:r>
      <w:r w:rsidRPr="002B7485">
        <w:rPr>
          <w:color w:val="000000"/>
        </w:rPr>
        <w:t>е</w:t>
      </w:r>
      <w:r w:rsidRPr="002B7485">
        <w:rPr>
          <w:color w:val="000000"/>
        </w:rPr>
        <w:t>гионах как предпосылки будущего развития инд</w:t>
      </w:r>
      <w:r w:rsidRPr="002B7485">
        <w:rPr>
          <w:color w:val="000000"/>
        </w:rPr>
        <w:t>у</w:t>
      </w:r>
      <w:r w:rsidRPr="002B7485">
        <w:rPr>
          <w:color w:val="000000"/>
        </w:rPr>
        <w:t xml:space="preserve">стриального сектора. </w:t>
      </w:r>
    </w:p>
    <w:p w:rsidR="002B7485" w:rsidRPr="002B7485" w:rsidRDefault="002B7485" w:rsidP="002B7485">
      <w:pPr>
        <w:ind w:firstLine="397"/>
        <w:rPr>
          <w:color w:val="000000"/>
        </w:rPr>
      </w:pPr>
      <w:r w:rsidRPr="002B7485">
        <w:rPr>
          <w:color w:val="000000"/>
        </w:rPr>
        <w:t xml:space="preserve">Интегральный показатель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(9)</w:t>
      </w:r>
      <w:r w:rsidRPr="002B7485">
        <w:rPr>
          <w:color w:val="000000"/>
        </w:rPr>
        <w:t xml:space="preserve"> служит цели сравнительной характеристики регионов (в иссл</w:t>
      </w:r>
      <w:r w:rsidRPr="002B7485">
        <w:rPr>
          <w:color w:val="000000"/>
        </w:rPr>
        <w:t>е</w:t>
      </w:r>
      <w:r w:rsidRPr="002B7485">
        <w:rPr>
          <w:color w:val="000000"/>
        </w:rPr>
        <w:t>дуемой совокупности) по критериям, которые имеют значение для достижения цели индустр</w:t>
      </w:r>
      <w:r w:rsidRPr="002B7485">
        <w:rPr>
          <w:color w:val="000000"/>
        </w:rPr>
        <w:t>и</w:t>
      </w:r>
      <w:r w:rsidRPr="002B7485">
        <w:rPr>
          <w:color w:val="000000"/>
        </w:rPr>
        <w:t>ального и инновационного развития страны и з</w:t>
      </w:r>
      <w:r w:rsidRPr="002B7485">
        <w:rPr>
          <w:color w:val="000000"/>
        </w:rPr>
        <w:t>а</w:t>
      </w:r>
      <w:r w:rsidRPr="002B7485">
        <w:rPr>
          <w:color w:val="000000"/>
        </w:rPr>
        <w:t>креплены в системе национальных показателей ЦУР. Сравнительная оценка позволяет сформир</w:t>
      </w:r>
      <w:r w:rsidRPr="002B7485">
        <w:rPr>
          <w:color w:val="000000"/>
        </w:rPr>
        <w:t>о</w:t>
      </w:r>
      <w:r w:rsidRPr="002B7485">
        <w:rPr>
          <w:color w:val="000000"/>
        </w:rPr>
        <w:t>вать обоснованные суждения о лучших практиках регионального управления в сфере индустриал</w:t>
      </w:r>
      <w:r w:rsidRPr="002B7485">
        <w:rPr>
          <w:color w:val="000000"/>
        </w:rPr>
        <w:t>ь</w:t>
      </w:r>
      <w:r w:rsidRPr="002B7485">
        <w:rPr>
          <w:color w:val="000000"/>
        </w:rPr>
        <w:t xml:space="preserve">ного и инновационного развития и возможностях их масштабирования в аналогичных регионах РФ. </w:t>
      </w:r>
    </w:p>
    <w:p w:rsidR="002B7485" w:rsidRPr="002B7485" w:rsidRDefault="002B7485" w:rsidP="002B7485">
      <w:pPr>
        <w:pStyle w:val="11"/>
        <w:keepNext w:val="0"/>
        <w:pageBreakBefore w:val="0"/>
        <w:ind w:firstLine="397"/>
        <w:jc w:val="both"/>
        <w:rPr>
          <w:rFonts w:ascii="Times New Roman" w:hAnsi="Times New Roman" w:cs="Times New Roman"/>
          <w:i w:val="0"/>
          <w:szCs w:val="20"/>
        </w:rPr>
      </w:pPr>
      <w:r w:rsidRPr="002B7485">
        <w:rPr>
          <w:rFonts w:ascii="Times New Roman" w:hAnsi="Times New Roman" w:cs="Times New Roman"/>
          <w:i w:val="0"/>
          <w:szCs w:val="20"/>
        </w:rPr>
        <w:t>Заключение</w:t>
      </w:r>
    </w:p>
    <w:p w:rsidR="002B7485" w:rsidRPr="002B7485" w:rsidRDefault="002B7485" w:rsidP="002B7485">
      <w:pPr>
        <w:ind w:firstLine="397"/>
      </w:pPr>
      <w:r w:rsidRPr="002B7485">
        <w:rPr>
          <w:color w:val="000000"/>
        </w:rPr>
        <w:t>Концепция ООН об устойчивом развитии имеет важное социально-экономическое и полит</w:t>
      </w:r>
      <w:r w:rsidRPr="002B7485">
        <w:rPr>
          <w:color w:val="000000"/>
        </w:rPr>
        <w:t>и</w:t>
      </w:r>
      <w:r w:rsidRPr="002B7485">
        <w:rPr>
          <w:color w:val="000000"/>
        </w:rPr>
        <w:t>ческое значение. Сложившиеся подходы к оценке устойчивого развития в масштабах национальной экономики РФ позволяют составить его обобще</w:t>
      </w:r>
      <w:r w:rsidRPr="002B7485">
        <w:rPr>
          <w:color w:val="000000"/>
        </w:rPr>
        <w:t>н</w:t>
      </w:r>
      <w:r w:rsidRPr="002B7485">
        <w:rPr>
          <w:color w:val="000000"/>
        </w:rPr>
        <w:t>ную характеристику в форме набора установле</w:t>
      </w:r>
      <w:r w:rsidRPr="002B7485">
        <w:rPr>
          <w:color w:val="000000"/>
        </w:rPr>
        <w:t>н</w:t>
      </w:r>
      <w:r w:rsidRPr="002B7485">
        <w:rPr>
          <w:color w:val="000000"/>
        </w:rPr>
        <w:t>ных показателей. Для анализа национальных пок</w:t>
      </w:r>
      <w:r w:rsidRPr="002B7485">
        <w:rPr>
          <w:color w:val="000000"/>
        </w:rPr>
        <w:t>а</w:t>
      </w:r>
      <w:r w:rsidRPr="002B7485">
        <w:rPr>
          <w:color w:val="000000"/>
        </w:rPr>
        <w:t>зателей устойчивого развития целесообразна их декомпозиция, в том числе, в региональном аспе</w:t>
      </w:r>
      <w:r w:rsidRPr="002B7485">
        <w:rPr>
          <w:color w:val="000000"/>
        </w:rPr>
        <w:t>к</w:t>
      </w:r>
      <w:r w:rsidRPr="002B7485">
        <w:rPr>
          <w:color w:val="000000"/>
        </w:rPr>
        <w:t>те. Представленные в статье решения – структу</w:t>
      </w:r>
      <w:r w:rsidRPr="002B7485">
        <w:rPr>
          <w:color w:val="000000"/>
        </w:rPr>
        <w:t>р</w:t>
      </w:r>
      <w:r w:rsidRPr="002B7485">
        <w:rPr>
          <w:color w:val="000000"/>
        </w:rPr>
        <w:t>ная модель декомпозиции национальных показ</w:t>
      </w:r>
      <w:r w:rsidRPr="002B7485">
        <w:rPr>
          <w:color w:val="000000"/>
        </w:rPr>
        <w:t>а</w:t>
      </w:r>
      <w:r w:rsidRPr="002B7485">
        <w:rPr>
          <w:color w:val="000000"/>
        </w:rPr>
        <w:t>телей ЦУР в комплекс региональных измерителей и формирование на этой основе интегрального показателя устойчивого развития регионов в сфере индустрии и инноваций – призваны дополнить методологию исследования ЦУР и позволяют пр</w:t>
      </w:r>
      <w:r w:rsidRPr="002B7485">
        <w:rPr>
          <w:color w:val="000000"/>
        </w:rPr>
        <w:t>о</w:t>
      </w:r>
      <w:r w:rsidRPr="002B7485">
        <w:rPr>
          <w:color w:val="000000"/>
        </w:rPr>
        <w:t xml:space="preserve">водить </w:t>
      </w:r>
      <w:r w:rsidRPr="002B7485">
        <w:t>сравнительную характеристику регионов (по сложившимся критериям устойчивого разв</w:t>
      </w:r>
      <w:r w:rsidRPr="002B7485">
        <w:t>и</w:t>
      </w:r>
      <w:r w:rsidRPr="002B7485">
        <w:t>тия). Проведенная на примере регионов ПФО а</w:t>
      </w:r>
      <w:r w:rsidRPr="002B7485">
        <w:t>п</w:t>
      </w:r>
      <w:r w:rsidRPr="002B7485">
        <w:t>робация предложенных решений показала их практическую применимость. Полученные с п</w:t>
      </w:r>
      <w:r w:rsidRPr="002B7485">
        <w:t>о</w:t>
      </w:r>
      <w:r w:rsidRPr="002B7485">
        <w:t>мощью разработанного метода оценки устойчив</w:t>
      </w:r>
      <w:r w:rsidRPr="002B7485">
        <w:t>о</w:t>
      </w:r>
      <w:r w:rsidRPr="002B7485">
        <w:t>го развития регионов в сфере индустрии и иннов</w:t>
      </w:r>
      <w:r w:rsidRPr="002B7485">
        <w:t>а</w:t>
      </w:r>
      <w:r w:rsidRPr="002B7485">
        <w:t>ций являются релевантными и информативными для анализа промышленной и инновационной п</w:t>
      </w:r>
      <w:r w:rsidRPr="002B7485">
        <w:t>о</w:t>
      </w:r>
      <w:r w:rsidRPr="002B7485">
        <w:t>литики в регионах. Разработанный метод напра</w:t>
      </w:r>
      <w:r w:rsidRPr="002B7485">
        <w:t>в</w:t>
      </w:r>
      <w:r w:rsidRPr="002B7485">
        <w:t>лен на реализацию сложившегося и закреплен</w:t>
      </w:r>
      <w:r w:rsidR="00A80DF4" w:rsidRPr="00707825">
        <w:t>н</w:t>
      </w:r>
      <w:r w:rsidRPr="002B7485">
        <w:t>ого в декларативных документах ООН понимания у</w:t>
      </w:r>
      <w:r w:rsidRPr="002B7485">
        <w:t>с</w:t>
      </w:r>
      <w:r w:rsidRPr="002B7485">
        <w:t xml:space="preserve">тойчивости как </w:t>
      </w:r>
      <w:r w:rsidRPr="002B7485">
        <w:rPr>
          <w:i/>
        </w:rPr>
        <w:t>стабильности</w:t>
      </w:r>
      <w:r w:rsidRPr="002B7485">
        <w:t xml:space="preserve"> (</w:t>
      </w:r>
      <w:r w:rsidRPr="002B7485">
        <w:rPr>
          <w:lang w:val="en-US"/>
        </w:rPr>
        <w:t>S</w:t>
      </w:r>
      <w:proofErr w:type="spellStart"/>
      <w:r w:rsidRPr="002B7485">
        <w:t>ustainable</w:t>
      </w:r>
      <w:proofErr w:type="spellEnd"/>
      <w:r w:rsidRPr="002B7485">
        <w:t>). Цел</w:t>
      </w:r>
      <w:r w:rsidRPr="002B7485">
        <w:t>е</w:t>
      </w:r>
      <w:r w:rsidRPr="002B7485">
        <w:t>сообразность продолжения представленного в ст</w:t>
      </w:r>
      <w:r w:rsidRPr="002B7485">
        <w:t>а</w:t>
      </w:r>
      <w:r w:rsidRPr="002B7485">
        <w:t>тье исследования обусловлена возможностью ра</w:t>
      </w:r>
      <w:r w:rsidRPr="002B7485">
        <w:t>з</w:t>
      </w:r>
      <w:r w:rsidRPr="002B7485">
        <w:t xml:space="preserve">вития процедуры </w:t>
      </w:r>
      <w:proofErr w:type="spellStart"/>
      <w:r w:rsidRPr="002B7485">
        <w:t>НЛВ</w:t>
      </w:r>
      <w:proofErr w:type="spellEnd"/>
      <w:r w:rsidRPr="002B7485">
        <w:t xml:space="preserve"> в оценке интегрального показателя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(9)</w:t>
      </w:r>
      <w:r w:rsidRPr="002B7485">
        <w:t xml:space="preserve"> за счет включения в ее состав модуля управленческой экспертизы. Видится во</w:t>
      </w:r>
      <w:r w:rsidRPr="002B7485">
        <w:t>з</w:t>
      </w:r>
      <w:r w:rsidRPr="002B7485">
        <w:t xml:space="preserve">можным расширение состава факторов </w:t>
      </w:r>
      <w:proofErr w:type="spellStart"/>
      <w:r w:rsidRPr="002B7485">
        <w:rPr>
          <w:color w:val="000000"/>
          <w:lang w:val="en-US"/>
        </w:rPr>
        <w:t>SD</w:t>
      </w:r>
      <w:r w:rsidRPr="002B7485">
        <w:rPr>
          <w:color w:val="000000"/>
          <w:vertAlign w:val="subscript"/>
          <w:lang w:val="en-US"/>
        </w:rPr>
        <w:t>ind</w:t>
      </w:r>
      <w:proofErr w:type="spellEnd"/>
      <w:r w:rsidRPr="002B7485">
        <w:rPr>
          <w:color w:val="000000"/>
          <w:vertAlign w:val="subscript"/>
        </w:rPr>
        <w:t xml:space="preserve">(9) </w:t>
      </w:r>
      <w:r w:rsidRPr="002B7485">
        <w:t xml:space="preserve">, а также реализация разработанного метода на более широкой совокупности регионов РФ. </w:t>
      </w:r>
    </w:p>
    <w:p w:rsidR="002B7485" w:rsidRPr="002B7485" w:rsidRDefault="002B7485" w:rsidP="002B7485">
      <w:pPr>
        <w:ind w:firstLine="397"/>
        <w:rPr>
          <w:sz w:val="32"/>
        </w:rPr>
      </w:pPr>
    </w:p>
    <w:p w:rsidR="002B7485" w:rsidRPr="002B7485" w:rsidRDefault="002B7485" w:rsidP="002B7485">
      <w:pPr>
        <w:tabs>
          <w:tab w:val="left" w:pos="1134"/>
        </w:tabs>
        <w:ind w:firstLine="397"/>
        <w:rPr>
          <w:b/>
          <w:sz w:val="18"/>
        </w:rPr>
      </w:pPr>
      <w:r w:rsidRPr="002B7485">
        <w:rPr>
          <w:b/>
          <w:sz w:val="18"/>
        </w:rPr>
        <w:t>Статья подготовлена в соответствии с Пр</w:t>
      </w:r>
      <w:r w:rsidRPr="002B7485">
        <w:rPr>
          <w:b/>
          <w:sz w:val="18"/>
        </w:rPr>
        <w:t>о</w:t>
      </w:r>
      <w:r w:rsidRPr="002B7485">
        <w:rPr>
          <w:b/>
          <w:sz w:val="18"/>
        </w:rPr>
        <w:t>граммой фундаментальных научных исследований государственных академий наук и планом НИР И</w:t>
      </w:r>
      <w:r w:rsidRPr="002B7485">
        <w:rPr>
          <w:b/>
          <w:sz w:val="18"/>
        </w:rPr>
        <w:t>н</w:t>
      </w:r>
      <w:r w:rsidRPr="002B7485">
        <w:rPr>
          <w:b/>
          <w:sz w:val="18"/>
        </w:rPr>
        <w:t>ститута экономики Уральского отделения РАН на 2021–2023 гг. по теме «Методология инновационного развития регионально-ориентированных систем в условиях нестабильной экономической конъюнкт</w:t>
      </w:r>
      <w:r w:rsidRPr="002B7485">
        <w:rPr>
          <w:b/>
          <w:sz w:val="18"/>
        </w:rPr>
        <w:t>у</w:t>
      </w:r>
      <w:r w:rsidRPr="002B7485">
        <w:rPr>
          <w:b/>
          <w:sz w:val="18"/>
        </w:rPr>
        <w:t>ры» (№ 0327-2</w:t>
      </w:r>
      <w:r w:rsidR="00FA40AF" w:rsidRPr="00707825">
        <w:rPr>
          <w:b/>
          <w:sz w:val="18"/>
        </w:rPr>
        <w:t>0</w:t>
      </w:r>
      <w:r w:rsidRPr="002B7485">
        <w:rPr>
          <w:b/>
          <w:sz w:val="18"/>
        </w:rPr>
        <w:t>21-0009).</w:t>
      </w:r>
    </w:p>
    <w:p w:rsidR="002B7485" w:rsidRPr="005B670C" w:rsidRDefault="002B7485" w:rsidP="002B7485">
      <w:pPr>
        <w:pStyle w:val="20"/>
        <w:keepNext w:val="0"/>
        <w:spacing w:before="0" w:after="0"/>
        <w:rPr>
          <w:rFonts w:ascii="Times New Roman" w:hAnsi="Times New Roman"/>
          <w:b w:val="0"/>
          <w:bCs w:val="0"/>
          <w:sz w:val="20"/>
          <w:szCs w:val="20"/>
        </w:rPr>
      </w:pPr>
      <w:r w:rsidRPr="005B670C">
        <w:rPr>
          <w:rFonts w:ascii="Times New Roman" w:hAnsi="Times New Roman"/>
          <w:bCs w:val="0"/>
          <w:sz w:val="20"/>
          <w:szCs w:val="20"/>
        </w:rPr>
        <w:lastRenderedPageBreak/>
        <w:t>Литература</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pacing w:val="-4"/>
          <w:sz w:val="20"/>
          <w:szCs w:val="20"/>
        </w:rPr>
      </w:pPr>
      <w:r w:rsidRPr="005B670C">
        <w:rPr>
          <w:rFonts w:ascii="Times New Roman" w:hAnsi="Times New Roman" w:cs="Times New Roman"/>
          <w:spacing w:val="-4"/>
          <w:sz w:val="20"/>
          <w:szCs w:val="20"/>
        </w:rPr>
        <w:t>Российский статистический ежегодник. 2020 / Федеральная служба государственной статистики. URL: https://gks.ru/bgd/regl/b20_13/</w:t>
      </w:r>
      <w:r w:rsidR="005B670C" w:rsidRPr="005B670C">
        <w:rPr>
          <w:rFonts w:ascii="Times New Roman" w:hAnsi="Times New Roman" w:cs="Times New Roman"/>
          <w:spacing w:val="-4"/>
          <w:sz w:val="20"/>
          <w:szCs w:val="20"/>
        </w:rPr>
        <w:t xml:space="preserve"> </w:t>
      </w:r>
      <w:r w:rsidRPr="005B670C">
        <w:rPr>
          <w:rFonts w:ascii="Times New Roman" w:hAnsi="Times New Roman" w:cs="Times New Roman"/>
          <w:spacing w:val="-4"/>
          <w:sz w:val="20"/>
          <w:szCs w:val="20"/>
        </w:rPr>
        <w:t xml:space="preserve">Main.htm </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r w:rsidRPr="005B670C">
        <w:rPr>
          <w:rFonts w:ascii="Times New Roman" w:hAnsi="Times New Roman" w:cs="Times New Roman"/>
          <w:sz w:val="20"/>
          <w:szCs w:val="20"/>
        </w:rPr>
        <w:t>Кравченко Н.А., Агеева С.Д. Диверсифик</w:t>
      </w:r>
      <w:r w:rsidRPr="005B670C">
        <w:rPr>
          <w:rFonts w:ascii="Times New Roman" w:hAnsi="Times New Roman" w:cs="Times New Roman"/>
          <w:sz w:val="20"/>
          <w:szCs w:val="20"/>
        </w:rPr>
        <w:t>а</w:t>
      </w:r>
      <w:r w:rsidRPr="005B670C">
        <w:rPr>
          <w:rFonts w:ascii="Times New Roman" w:hAnsi="Times New Roman" w:cs="Times New Roman"/>
          <w:sz w:val="20"/>
          <w:szCs w:val="20"/>
        </w:rPr>
        <w:t>ция экономики: институциональные аспекты // Журнал институциональных исследований. 2017. Т. 9, № 4. С. 52–67. DOI: 10.17835/2076-6297.</w:t>
      </w:r>
      <w:r w:rsidR="005B670C">
        <w:rPr>
          <w:rFonts w:ascii="Times New Roman" w:hAnsi="Times New Roman" w:cs="Times New Roman"/>
          <w:sz w:val="20"/>
          <w:szCs w:val="20"/>
        </w:rPr>
        <w:t xml:space="preserve"> </w:t>
      </w:r>
      <w:r w:rsidRPr="005B670C">
        <w:rPr>
          <w:rFonts w:ascii="Times New Roman" w:hAnsi="Times New Roman" w:cs="Times New Roman"/>
          <w:sz w:val="20"/>
          <w:szCs w:val="20"/>
        </w:rPr>
        <w:t>2017.9.4.052-067</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rPr>
        <w:t>Диверсификация в России. Потенциал р</w:t>
      </w:r>
      <w:r w:rsidRPr="005B670C">
        <w:rPr>
          <w:rFonts w:ascii="Times New Roman" w:hAnsi="Times New Roman" w:cs="Times New Roman"/>
          <w:sz w:val="20"/>
          <w:szCs w:val="20"/>
        </w:rPr>
        <w:t>е</w:t>
      </w:r>
      <w:r w:rsidRPr="005B670C">
        <w:rPr>
          <w:rFonts w:ascii="Times New Roman" w:hAnsi="Times New Roman" w:cs="Times New Roman"/>
          <w:sz w:val="20"/>
          <w:szCs w:val="20"/>
        </w:rPr>
        <w:t xml:space="preserve">гиональных различий: Доклад / Европейский банк реконструкции и развития. </w:t>
      </w:r>
      <w:r w:rsidRPr="005B670C">
        <w:rPr>
          <w:rFonts w:ascii="Times New Roman" w:hAnsi="Times New Roman" w:cs="Times New Roman"/>
          <w:sz w:val="20"/>
          <w:szCs w:val="20"/>
          <w:lang w:val="en-US"/>
        </w:rPr>
        <w:t>URL: https://www.ebrd</w:t>
      </w:r>
      <w:r w:rsidR="005B670C" w:rsidRPr="005B670C">
        <w:rPr>
          <w:rFonts w:ascii="Times New Roman" w:hAnsi="Times New Roman" w:cs="Times New Roman"/>
          <w:sz w:val="20"/>
          <w:szCs w:val="20"/>
          <w:lang w:val="en-US"/>
        </w:rPr>
        <w:t xml:space="preserve"> </w:t>
      </w:r>
      <w:r w:rsidRPr="005B670C">
        <w:rPr>
          <w:rFonts w:ascii="Times New Roman" w:hAnsi="Times New Roman" w:cs="Times New Roman"/>
          <w:sz w:val="20"/>
          <w:szCs w:val="20"/>
          <w:lang w:val="en-US"/>
        </w:rPr>
        <w:t>.com/downloads/research/economics/publications/</w:t>
      </w:r>
      <w:r w:rsidR="005B670C" w:rsidRPr="005B670C">
        <w:rPr>
          <w:rFonts w:ascii="Times New Roman" w:hAnsi="Times New Roman" w:cs="Times New Roman"/>
          <w:sz w:val="20"/>
          <w:szCs w:val="20"/>
          <w:lang w:val="en-US"/>
        </w:rPr>
        <w:t xml:space="preserve"> </w:t>
      </w:r>
      <w:r w:rsidRPr="005B670C">
        <w:rPr>
          <w:rFonts w:ascii="Times New Roman" w:hAnsi="Times New Roman" w:cs="Times New Roman"/>
          <w:sz w:val="20"/>
          <w:szCs w:val="20"/>
          <w:lang w:val="en-US"/>
        </w:rPr>
        <w:t xml:space="preserve">specials/diversifying-russia-russian.pdf </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rPr>
        <w:t>Преобразование нашего мира: Повестка дня в области устойчивого развития на период до 2030 года: Резолюция Генеральной Ассамбл</w:t>
      </w:r>
      <w:proofErr w:type="gramStart"/>
      <w:r w:rsidRPr="005B670C">
        <w:rPr>
          <w:rFonts w:ascii="Times New Roman" w:hAnsi="Times New Roman" w:cs="Times New Roman"/>
          <w:sz w:val="20"/>
          <w:szCs w:val="20"/>
        </w:rPr>
        <w:t>еи ОО</w:t>
      </w:r>
      <w:proofErr w:type="gramEnd"/>
      <w:r w:rsidRPr="005B670C">
        <w:rPr>
          <w:rFonts w:ascii="Times New Roman" w:hAnsi="Times New Roman" w:cs="Times New Roman"/>
          <w:sz w:val="20"/>
          <w:szCs w:val="20"/>
        </w:rPr>
        <w:t xml:space="preserve">Н, 25 сентября 2015 года. </w:t>
      </w:r>
      <w:r w:rsidRPr="005B670C">
        <w:rPr>
          <w:rFonts w:ascii="Times New Roman" w:hAnsi="Times New Roman" w:cs="Times New Roman"/>
          <w:sz w:val="20"/>
          <w:szCs w:val="20"/>
          <w:lang w:val="en-US"/>
        </w:rPr>
        <w:t>URL: https://www.un.org/ga/</w:t>
      </w:r>
      <w:r w:rsidR="005B670C" w:rsidRPr="005B670C">
        <w:rPr>
          <w:rFonts w:ascii="Times New Roman" w:hAnsi="Times New Roman" w:cs="Times New Roman"/>
          <w:sz w:val="20"/>
          <w:szCs w:val="20"/>
          <w:lang w:val="en-US"/>
        </w:rPr>
        <w:t xml:space="preserve"> </w:t>
      </w:r>
      <w:r w:rsidRPr="005B670C">
        <w:rPr>
          <w:rFonts w:ascii="Times New Roman" w:hAnsi="Times New Roman" w:cs="Times New Roman"/>
          <w:sz w:val="20"/>
          <w:szCs w:val="20"/>
          <w:lang w:val="en-US"/>
        </w:rPr>
        <w:t>search/</w:t>
      </w:r>
      <w:proofErr w:type="spellStart"/>
      <w:r w:rsidRPr="005B670C">
        <w:rPr>
          <w:rFonts w:ascii="Times New Roman" w:hAnsi="Times New Roman" w:cs="Times New Roman"/>
          <w:sz w:val="20"/>
          <w:szCs w:val="20"/>
          <w:lang w:val="en-US"/>
        </w:rPr>
        <w:t>view_doc.asp?symbol</w:t>
      </w:r>
      <w:proofErr w:type="spellEnd"/>
      <w:r w:rsidRPr="005B670C">
        <w:rPr>
          <w:rFonts w:ascii="Times New Roman" w:hAnsi="Times New Roman" w:cs="Times New Roman"/>
          <w:sz w:val="20"/>
          <w:szCs w:val="20"/>
          <w:lang w:val="en-US"/>
        </w:rPr>
        <w:t>=A/RES/70/</w:t>
      </w:r>
      <w:proofErr w:type="spellStart"/>
      <w:r w:rsidRPr="005B670C">
        <w:rPr>
          <w:rFonts w:ascii="Times New Roman" w:hAnsi="Times New Roman" w:cs="Times New Roman"/>
          <w:sz w:val="20"/>
          <w:szCs w:val="20"/>
          <w:lang w:val="en-US"/>
        </w:rPr>
        <w:t>1&amp;Lang</w:t>
      </w:r>
      <w:proofErr w:type="spellEnd"/>
      <w:r w:rsidRPr="005B670C">
        <w:rPr>
          <w:rFonts w:ascii="Times New Roman" w:hAnsi="Times New Roman" w:cs="Times New Roman"/>
          <w:sz w:val="20"/>
          <w:szCs w:val="20"/>
          <w:lang w:val="en-US"/>
        </w:rPr>
        <w:t>=R (</w:t>
      </w:r>
      <w:r w:rsidRPr="005B670C">
        <w:rPr>
          <w:rFonts w:ascii="Times New Roman" w:hAnsi="Times New Roman" w:cs="Times New Roman"/>
          <w:sz w:val="20"/>
          <w:szCs w:val="20"/>
        </w:rPr>
        <w:t>дата</w:t>
      </w:r>
      <w:r w:rsidRPr="005B670C">
        <w:rPr>
          <w:rFonts w:ascii="Times New Roman" w:hAnsi="Times New Roman" w:cs="Times New Roman"/>
          <w:sz w:val="20"/>
          <w:szCs w:val="20"/>
          <w:lang w:val="en-US"/>
        </w:rPr>
        <w:t xml:space="preserve"> </w:t>
      </w:r>
      <w:r w:rsidRPr="005B670C">
        <w:rPr>
          <w:rFonts w:ascii="Times New Roman" w:hAnsi="Times New Roman" w:cs="Times New Roman"/>
          <w:sz w:val="20"/>
          <w:szCs w:val="20"/>
        </w:rPr>
        <w:t>обращения</w:t>
      </w:r>
      <w:r w:rsidRPr="005B670C">
        <w:rPr>
          <w:rFonts w:ascii="Times New Roman" w:hAnsi="Times New Roman" w:cs="Times New Roman"/>
          <w:sz w:val="20"/>
          <w:szCs w:val="20"/>
          <w:lang w:val="en-US"/>
        </w:rPr>
        <w:t xml:space="preserve">: 22.06.2021 </w:t>
      </w:r>
      <w:r w:rsidRPr="005B670C">
        <w:rPr>
          <w:rFonts w:ascii="Times New Roman" w:hAnsi="Times New Roman" w:cs="Times New Roman"/>
          <w:sz w:val="20"/>
          <w:szCs w:val="20"/>
        </w:rPr>
        <w:t>г</w:t>
      </w:r>
      <w:r w:rsidRPr="005B670C">
        <w:rPr>
          <w:rFonts w:ascii="Times New Roman" w:hAnsi="Times New Roman" w:cs="Times New Roman"/>
          <w:sz w:val="20"/>
          <w:szCs w:val="20"/>
          <w:lang w:val="en-US"/>
        </w:rPr>
        <w:t>.)</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r w:rsidRPr="005B670C">
        <w:rPr>
          <w:rFonts w:ascii="Times New Roman" w:hAnsi="Times New Roman" w:cs="Times New Roman"/>
          <w:sz w:val="20"/>
          <w:szCs w:val="20"/>
        </w:rPr>
        <w:t xml:space="preserve">Национальный набор показателей ЦУР. </w:t>
      </w:r>
      <w:r w:rsidRPr="005B670C">
        <w:rPr>
          <w:rFonts w:ascii="Times New Roman" w:hAnsi="Times New Roman" w:cs="Times New Roman"/>
          <w:sz w:val="20"/>
          <w:szCs w:val="20"/>
          <w:lang w:val="en-US"/>
        </w:rPr>
        <w:t>URL</w:t>
      </w:r>
      <w:r w:rsidRPr="005B670C">
        <w:rPr>
          <w:rFonts w:ascii="Times New Roman" w:hAnsi="Times New Roman" w:cs="Times New Roman"/>
          <w:sz w:val="20"/>
          <w:szCs w:val="20"/>
        </w:rPr>
        <w:t xml:space="preserve">: </w:t>
      </w:r>
      <w:r w:rsidRPr="005B670C">
        <w:rPr>
          <w:rFonts w:ascii="Times New Roman" w:hAnsi="Times New Roman" w:cs="Times New Roman"/>
          <w:sz w:val="20"/>
          <w:szCs w:val="20"/>
          <w:lang w:val="en-US"/>
        </w:rPr>
        <w:t>https</w:t>
      </w:r>
      <w:r w:rsidRPr="005B670C">
        <w:rPr>
          <w:rFonts w:ascii="Times New Roman" w:hAnsi="Times New Roman" w:cs="Times New Roman"/>
          <w:sz w:val="20"/>
          <w:szCs w:val="20"/>
        </w:rPr>
        <w:t>://</w:t>
      </w:r>
      <w:proofErr w:type="spellStart"/>
      <w:r w:rsidRPr="005B670C">
        <w:rPr>
          <w:rFonts w:ascii="Times New Roman" w:hAnsi="Times New Roman" w:cs="Times New Roman"/>
          <w:sz w:val="20"/>
          <w:szCs w:val="20"/>
          <w:lang w:val="en-US"/>
        </w:rPr>
        <w:t>rosstat</w:t>
      </w:r>
      <w:proofErr w:type="spellEnd"/>
      <w:r w:rsidRPr="005B670C">
        <w:rPr>
          <w:rFonts w:ascii="Times New Roman" w:hAnsi="Times New Roman" w:cs="Times New Roman"/>
          <w:sz w:val="20"/>
          <w:szCs w:val="20"/>
        </w:rPr>
        <w:t>.</w:t>
      </w:r>
      <w:proofErr w:type="spellStart"/>
      <w:r w:rsidRPr="005B670C">
        <w:rPr>
          <w:rFonts w:ascii="Times New Roman" w:hAnsi="Times New Roman" w:cs="Times New Roman"/>
          <w:sz w:val="20"/>
          <w:szCs w:val="20"/>
          <w:lang w:val="en-US"/>
        </w:rPr>
        <w:t>gov</w:t>
      </w:r>
      <w:proofErr w:type="spellEnd"/>
      <w:r w:rsidRPr="005B670C">
        <w:rPr>
          <w:rFonts w:ascii="Times New Roman" w:hAnsi="Times New Roman" w:cs="Times New Roman"/>
          <w:sz w:val="20"/>
          <w:szCs w:val="20"/>
        </w:rPr>
        <w:t>.</w:t>
      </w:r>
      <w:proofErr w:type="spellStart"/>
      <w:r w:rsidRPr="005B670C">
        <w:rPr>
          <w:rFonts w:ascii="Times New Roman" w:hAnsi="Times New Roman" w:cs="Times New Roman"/>
          <w:sz w:val="20"/>
          <w:szCs w:val="20"/>
          <w:lang w:val="en-US"/>
        </w:rPr>
        <w:t>ru</w:t>
      </w:r>
      <w:proofErr w:type="spellEnd"/>
      <w:r w:rsidRPr="005B670C">
        <w:rPr>
          <w:rFonts w:ascii="Times New Roman" w:hAnsi="Times New Roman" w:cs="Times New Roman"/>
          <w:sz w:val="20"/>
          <w:szCs w:val="20"/>
        </w:rPr>
        <w:t>/</w:t>
      </w:r>
      <w:proofErr w:type="spellStart"/>
      <w:r w:rsidRPr="005B670C">
        <w:rPr>
          <w:rFonts w:ascii="Times New Roman" w:hAnsi="Times New Roman" w:cs="Times New Roman"/>
          <w:sz w:val="20"/>
          <w:szCs w:val="20"/>
          <w:lang w:val="en-US"/>
        </w:rPr>
        <w:t>sdg</w:t>
      </w:r>
      <w:proofErr w:type="spellEnd"/>
      <w:r w:rsidRPr="005B670C">
        <w:rPr>
          <w:rFonts w:ascii="Times New Roman" w:hAnsi="Times New Roman" w:cs="Times New Roman"/>
          <w:sz w:val="20"/>
          <w:szCs w:val="20"/>
        </w:rPr>
        <w:t>/</w:t>
      </w:r>
      <w:r w:rsidRPr="005B670C">
        <w:rPr>
          <w:rFonts w:ascii="Times New Roman" w:hAnsi="Times New Roman" w:cs="Times New Roman"/>
          <w:sz w:val="20"/>
          <w:szCs w:val="20"/>
          <w:lang w:val="en-US"/>
        </w:rPr>
        <w:t>national</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r w:rsidRPr="005B670C">
        <w:rPr>
          <w:rFonts w:ascii="Times New Roman" w:hAnsi="Times New Roman" w:cs="Times New Roman"/>
          <w:sz w:val="20"/>
          <w:szCs w:val="20"/>
        </w:rPr>
        <w:t xml:space="preserve">Надежность и эффективность в технике: справочник: в 10 т. / ред. совет: В.С. </w:t>
      </w:r>
      <w:proofErr w:type="spellStart"/>
      <w:r w:rsidRPr="005B670C">
        <w:rPr>
          <w:rFonts w:ascii="Times New Roman" w:hAnsi="Times New Roman" w:cs="Times New Roman"/>
          <w:sz w:val="20"/>
          <w:szCs w:val="20"/>
        </w:rPr>
        <w:t>Авдуевский</w:t>
      </w:r>
      <w:proofErr w:type="spellEnd"/>
      <w:r w:rsidRPr="005B670C">
        <w:rPr>
          <w:rFonts w:ascii="Times New Roman" w:hAnsi="Times New Roman" w:cs="Times New Roman"/>
          <w:sz w:val="20"/>
          <w:szCs w:val="20"/>
        </w:rPr>
        <w:t xml:space="preserve"> (пред.) и др. Т. 3: Эффективность технических систем / под общ</w:t>
      </w:r>
      <w:proofErr w:type="gramStart"/>
      <w:r w:rsidRPr="005B670C">
        <w:rPr>
          <w:rFonts w:ascii="Times New Roman" w:hAnsi="Times New Roman" w:cs="Times New Roman"/>
          <w:sz w:val="20"/>
          <w:szCs w:val="20"/>
        </w:rPr>
        <w:t>.</w:t>
      </w:r>
      <w:proofErr w:type="gramEnd"/>
      <w:r w:rsidRPr="005B670C">
        <w:rPr>
          <w:rFonts w:ascii="Times New Roman" w:hAnsi="Times New Roman" w:cs="Times New Roman"/>
          <w:sz w:val="20"/>
          <w:szCs w:val="20"/>
        </w:rPr>
        <w:t xml:space="preserve"> </w:t>
      </w:r>
      <w:proofErr w:type="gramStart"/>
      <w:r w:rsidRPr="005B670C">
        <w:rPr>
          <w:rFonts w:ascii="Times New Roman" w:hAnsi="Times New Roman" w:cs="Times New Roman"/>
          <w:sz w:val="20"/>
          <w:szCs w:val="20"/>
        </w:rPr>
        <w:t>р</w:t>
      </w:r>
      <w:proofErr w:type="gramEnd"/>
      <w:r w:rsidRPr="005B670C">
        <w:rPr>
          <w:rFonts w:ascii="Times New Roman" w:hAnsi="Times New Roman" w:cs="Times New Roman"/>
          <w:sz w:val="20"/>
          <w:szCs w:val="20"/>
        </w:rPr>
        <w:t xml:space="preserve">ед. В.Ф. Уткина, Ю.В. </w:t>
      </w:r>
      <w:proofErr w:type="spellStart"/>
      <w:r w:rsidRPr="005B670C">
        <w:rPr>
          <w:rFonts w:ascii="Times New Roman" w:hAnsi="Times New Roman" w:cs="Times New Roman"/>
          <w:sz w:val="20"/>
          <w:szCs w:val="20"/>
        </w:rPr>
        <w:t>Крючк</w:t>
      </w:r>
      <w:r w:rsidRPr="005B670C">
        <w:rPr>
          <w:rFonts w:ascii="Times New Roman" w:hAnsi="Times New Roman" w:cs="Times New Roman"/>
          <w:sz w:val="20"/>
          <w:szCs w:val="20"/>
        </w:rPr>
        <w:t>о</w:t>
      </w:r>
      <w:r w:rsidRPr="005B670C">
        <w:rPr>
          <w:rFonts w:ascii="Times New Roman" w:hAnsi="Times New Roman" w:cs="Times New Roman"/>
          <w:sz w:val="20"/>
          <w:szCs w:val="20"/>
        </w:rPr>
        <w:t>ва</w:t>
      </w:r>
      <w:proofErr w:type="spellEnd"/>
      <w:r w:rsidRPr="005B670C">
        <w:rPr>
          <w:rFonts w:ascii="Times New Roman" w:hAnsi="Times New Roman" w:cs="Times New Roman"/>
          <w:sz w:val="20"/>
          <w:szCs w:val="20"/>
        </w:rPr>
        <w:t>. – М.: Машиностроение, 1988. 328 с.</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proofErr w:type="spellStart"/>
      <w:r w:rsidRPr="005B670C">
        <w:rPr>
          <w:rFonts w:ascii="Times New Roman" w:hAnsi="Times New Roman" w:cs="Times New Roman"/>
          <w:sz w:val="20"/>
          <w:szCs w:val="20"/>
        </w:rPr>
        <w:t>Гизатуллин</w:t>
      </w:r>
      <w:proofErr w:type="spellEnd"/>
      <w:r w:rsidRPr="005B670C">
        <w:rPr>
          <w:rFonts w:ascii="Times New Roman" w:hAnsi="Times New Roman" w:cs="Times New Roman"/>
          <w:sz w:val="20"/>
          <w:szCs w:val="20"/>
        </w:rPr>
        <w:t xml:space="preserve"> Х.Н., Троицкий В.А. Конце</w:t>
      </w:r>
      <w:r w:rsidRPr="005B670C">
        <w:rPr>
          <w:rFonts w:ascii="Times New Roman" w:hAnsi="Times New Roman" w:cs="Times New Roman"/>
          <w:sz w:val="20"/>
          <w:szCs w:val="20"/>
        </w:rPr>
        <w:t>п</w:t>
      </w:r>
      <w:r w:rsidRPr="005B670C">
        <w:rPr>
          <w:rFonts w:ascii="Times New Roman" w:hAnsi="Times New Roman" w:cs="Times New Roman"/>
          <w:sz w:val="20"/>
          <w:szCs w:val="20"/>
        </w:rPr>
        <w:t>ция устойчивого развития: новая социально-экономическая парадигма // Общественные науки и современность. 1998. № 5. С. 124–130.</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r w:rsidRPr="005B670C">
        <w:rPr>
          <w:rFonts w:ascii="Times New Roman" w:hAnsi="Times New Roman" w:cs="Times New Roman"/>
          <w:sz w:val="20"/>
          <w:szCs w:val="20"/>
        </w:rPr>
        <w:t xml:space="preserve">Климанов В.В. Региональная </w:t>
      </w:r>
      <w:proofErr w:type="spellStart"/>
      <w:r w:rsidRPr="005B670C">
        <w:rPr>
          <w:rFonts w:ascii="Times New Roman" w:hAnsi="Times New Roman" w:cs="Times New Roman"/>
          <w:sz w:val="20"/>
          <w:szCs w:val="20"/>
        </w:rPr>
        <w:t>резилиен</w:t>
      </w:r>
      <w:r w:rsidRPr="005B670C">
        <w:rPr>
          <w:rFonts w:ascii="Times New Roman" w:hAnsi="Times New Roman" w:cs="Times New Roman"/>
          <w:sz w:val="20"/>
          <w:szCs w:val="20"/>
        </w:rPr>
        <w:t>т</w:t>
      </w:r>
      <w:r w:rsidRPr="005B670C">
        <w:rPr>
          <w:rFonts w:ascii="Times New Roman" w:hAnsi="Times New Roman" w:cs="Times New Roman"/>
          <w:sz w:val="20"/>
          <w:szCs w:val="20"/>
        </w:rPr>
        <w:t>ность</w:t>
      </w:r>
      <w:proofErr w:type="spellEnd"/>
      <w:r w:rsidRPr="005B670C">
        <w:rPr>
          <w:rFonts w:ascii="Times New Roman" w:hAnsi="Times New Roman" w:cs="Times New Roman"/>
          <w:sz w:val="20"/>
          <w:szCs w:val="20"/>
        </w:rPr>
        <w:t>: теоретические основы постановки вопроса / В.В. Климанов, А.А. Михайлова, С.М. Казакова // Экономическая политика. 2018. Т. 13, № 6. С. 164–187. DOI: 10.18288/1994-5124-2018-6-164-187</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lang w:val="en-US"/>
        </w:rPr>
        <w:t>Foster K.A. A Case Study Approach to Unde</w:t>
      </w:r>
      <w:r w:rsidRPr="005B670C">
        <w:rPr>
          <w:rFonts w:ascii="Times New Roman" w:hAnsi="Times New Roman" w:cs="Times New Roman"/>
          <w:sz w:val="20"/>
          <w:szCs w:val="20"/>
          <w:lang w:val="en-US"/>
        </w:rPr>
        <w:t>r</w:t>
      </w:r>
      <w:r w:rsidRPr="005B670C">
        <w:rPr>
          <w:rFonts w:ascii="Times New Roman" w:hAnsi="Times New Roman" w:cs="Times New Roman"/>
          <w:sz w:val="20"/>
          <w:szCs w:val="20"/>
          <w:lang w:val="en-US"/>
        </w:rPr>
        <w:t>standing Regional Resilience. Working Paper 2007–08. Institute of Urban and Regional Development, University of California, Berkeley. 2006. URL: https://www.econstor.eu/obits</w:t>
      </w:r>
      <w:r w:rsidR="005B670C" w:rsidRPr="005B670C">
        <w:rPr>
          <w:rFonts w:ascii="Times New Roman" w:hAnsi="Times New Roman" w:cs="Times New Roman"/>
          <w:sz w:val="20"/>
          <w:szCs w:val="20"/>
        </w:rPr>
        <w:softHyphen/>
      </w:r>
      <w:proofErr w:type="spellStart"/>
      <w:r w:rsidRPr="005B670C">
        <w:rPr>
          <w:rFonts w:ascii="Times New Roman" w:hAnsi="Times New Roman" w:cs="Times New Roman"/>
          <w:sz w:val="20"/>
          <w:szCs w:val="20"/>
          <w:lang w:val="en-US"/>
        </w:rPr>
        <w:t>tream</w:t>
      </w:r>
      <w:proofErr w:type="spellEnd"/>
      <w:r w:rsidRPr="005B670C">
        <w:rPr>
          <w:rFonts w:ascii="Times New Roman" w:hAnsi="Times New Roman" w:cs="Times New Roman"/>
          <w:sz w:val="20"/>
          <w:szCs w:val="20"/>
          <w:lang w:val="en-US"/>
        </w:rPr>
        <w:t>/10419/59413/1/592535347.pdf</w:t>
      </w:r>
    </w:p>
    <w:p w:rsidR="002B7485" w:rsidRPr="005B670C" w:rsidRDefault="005201E1" w:rsidP="002B7485">
      <w:pPr>
        <w:pStyle w:val="af6"/>
        <w:numPr>
          <w:ilvl w:val="0"/>
          <w:numId w:val="21"/>
        </w:numPr>
        <w:tabs>
          <w:tab w:val="left" w:pos="426"/>
        </w:tabs>
        <w:autoSpaceDE/>
        <w:autoSpaceDN/>
        <w:rPr>
          <w:rFonts w:ascii="Times New Roman" w:hAnsi="Times New Roman" w:cs="Times New Roman"/>
          <w:sz w:val="20"/>
          <w:szCs w:val="20"/>
          <w:lang w:val="en-US"/>
        </w:rPr>
      </w:pPr>
      <w:r>
        <w:rPr>
          <w:rFonts w:ascii="Times New Roman" w:hAnsi="Times New Roman" w:cs="Times New Roman"/>
          <w:noProof/>
          <w:sz w:val="20"/>
          <w:szCs w:val="20"/>
        </w:rPr>
        <w:pict>
          <v:shape id="_x0000_s1418" type="#_x0000_t202" style="position:absolute;left:0;text-align:left;margin-left:.65pt;margin-top:63.8pt;width:464.5pt;height:139pt;z-index:251660288" stroked="f">
            <v:textbox>
              <w:txbxContent>
                <w:p w:rsidR="00F332D6" w:rsidRPr="005B670C" w:rsidRDefault="00F332D6" w:rsidP="005B670C">
                  <w:pPr>
                    <w:spacing w:after="60"/>
                    <w:ind w:firstLine="397"/>
                  </w:pPr>
                  <w:r w:rsidRPr="005B670C">
                    <w:rPr>
                      <w:b/>
                    </w:rPr>
                    <w:t>Шаталова Ольга Михайловна</w:t>
                  </w:r>
                  <w:r w:rsidRPr="005B670C">
                    <w:t xml:space="preserve">, </w:t>
                  </w:r>
                  <w:r w:rsidR="001B1D07" w:rsidRPr="00707825">
                    <w:t>д</w:t>
                  </w:r>
                  <w:r w:rsidRPr="005B670C">
                    <w:t xml:space="preserve">.э.н., доцент, старший научный сотрудник, Удмуртский филиал Института экономики </w:t>
                  </w:r>
                  <w:proofErr w:type="spellStart"/>
                  <w:r w:rsidRPr="005B670C">
                    <w:t>УрО</w:t>
                  </w:r>
                  <w:proofErr w:type="spellEnd"/>
                  <w:r w:rsidRPr="005B670C">
                    <w:t xml:space="preserve"> РАН (г. Ижевск), </w:t>
                  </w:r>
                  <w:hyperlink r:id="rId11" w:history="1">
                    <w:r w:rsidRPr="005B670C">
                      <w:rPr>
                        <w:rStyle w:val="afa"/>
                        <w:color w:val="auto"/>
                        <w:u w:val="none"/>
                      </w:rPr>
                      <w:t>oshatalova@mail.ru</w:t>
                    </w:r>
                  </w:hyperlink>
                  <w:r w:rsidRPr="005B670C">
                    <w:t xml:space="preserve"> </w:t>
                  </w:r>
                </w:p>
                <w:p w:rsidR="00F332D6" w:rsidRPr="005B670C" w:rsidRDefault="00F332D6" w:rsidP="005B670C">
                  <w:pPr>
                    <w:ind w:firstLine="397"/>
                  </w:pPr>
                  <w:r w:rsidRPr="005B670C">
                    <w:rPr>
                      <w:b/>
                    </w:rPr>
                    <w:t>Кузменко Юлия Геннадьевна</w:t>
                  </w:r>
                  <w:r w:rsidRPr="005B670C">
                    <w:t xml:space="preserve">, </w:t>
                  </w:r>
                  <w:proofErr w:type="spellStart"/>
                  <w:r w:rsidRPr="005B670C">
                    <w:t>д.э.н</w:t>
                  </w:r>
                  <w:proofErr w:type="spellEnd"/>
                  <w:r w:rsidRPr="005B670C">
                    <w:t xml:space="preserve">., доцент, профессор кафедры менеджмента, Южно-Уральский государственный университет (г. Челябинск), </w:t>
                  </w:r>
                  <w:r w:rsidRPr="005B670C">
                    <w:rPr>
                      <w:lang w:val="en-US"/>
                    </w:rPr>
                    <w:t>julia</w:t>
                  </w:r>
                  <w:r w:rsidRPr="005B670C">
                    <w:t>.</w:t>
                  </w:r>
                  <w:r w:rsidRPr="005B670C">
                    <w:rPr>
                      <w:lang w:val="en-US"/>
                    </w:rPr>
                    <w:t>kyzmenko</w:t>
                  </w:r>
                  <w:r w:rsidRPr="005B670C">
                    <w:t>@</w:t>
                  </w:r>
                  <w:proofErr w:type="spellStart"/>
                  <w:r w:rsidRPr="005B670C">
                    <w:rPr>
                      <w:lang w:val="en-US"/>
                    </w:rPr>
                    <w:t>gmail</w:t>
                  </w:r>
                  <w:proofErr w:type="spellEnd"/>
                  <w:r w:rsidRPr="005B670C">
                    <w:t>.</w:t>
                  </w:r>
                  <w:r w:rsidRPr="005B670C">
                    <w:rPr>
                      <w:lang w:val="en-US"/>
                    </w:rPr>
                    <w:t>com</w:t>
                  </w:r>
                </w:p>
                <w:p w:rsidR="00F332D6" w:rsidRPr="002B7485" w:rsidRDefault="00F332D6" w:rsidP="005B670C">
                  <w:pPr>
                    <w:tabs>
                      <w:tab w:val="left" w:pos="1134"/>
                    </w:tabs>
                    <w:ind w:firstLine="397"/>
                  </w:pPr>
                </w:p>
                <w:p w:rsidR="00F332D6" w:rsidRPr="002B7485" w:rsidRDefault="00F332D6" w:rsidP="005B670C">
                  <w:pPr>
                    <w:pStyle w:val="afff8"/>
                    <w:spacing w:after="0" w:line="240" w:lineRule="auto"/>
                    <w:ind w:left="0"/>
                    <w:jc w:val="right"/>
                    <w:rPr>
                      <w:rFonts w:ascii="Times New Roman" w:hAnsi="Times New Roman"/>
                      <w:b/>
                      <w:i/>
                      <w:sz w:val="18"/>
                      <w:szCs w:val="18"/>
                    </w:rPr>
                  </w:pPr>
                  <w:r w:rsidRPr="002B7485">
                    <w:rPr>
                      <w:rFonts w:ascii="Times New Roman" w:hAnsi="Times New Roman"/>
                      <w:b/>
                      <w:i/>
                      <w:sz w:val="18"/>
                      <w:szCs w:val="18"/>
                    </w:rPr>
                    <w:t>Поступила в редакцию 21 ноября 2021 г.</w:t>
                  </w:r>
                </w:p>
                <w:p w:rsidR="00F332D6" w:rsidRDefault="00F332D6"/>
              </w:txbxContent>
            </v:textbox>
          </v:shape>
        </w:pict>
      </w:r>
      <w:r w:rsidR="002B7485" w:rsidRPr="005B670C">
        <w:rPr>
          <w:rFonts w:ascii="Times New Roman" w:hAnsi="Times New Roman" w:cs="Times New Roman"/>
          <w:sz w:val="20"/>
          <w:szCs w:val="20"/>
          <w:lang w:val="en-US"/>
        </w:rPr>
        <w:t xml:space="preserve">Martin R. Regional Economic Resilience, Hysteresis and Recessionary Shocks // Journal of </w:t>
      </w:r>
      <w:r w:rsidR="005B670C">
        <w:rPr>
          <w:rFonts w:ascii="Times New Roman" w:hAnsi="Times New Roman" w:cs="Times New Roman"/>
          <w:sz w:val="20"/>
          <w:szCs w:val="20"/>
          <w:lang w:val="en-US"/>
        </w:rPr>
        <w:br w:type="column"/>
      </w:r>
      <w:r w:rsidR="002B7485" w:rsidRPr="005B670C">
        <w:rPr>
          <w:rFonts w:ascii="Times New Roman" w:hAnsi="Times New Roman" w:cs="Times New Roman"/>
          <w:sz w:val="20"/>
          <w:szCs w:val="20"/>
          <w:lang w:val="en-US"/>
        </w:rPr>
        <w:lastRenderedPageBreak/>
        <w:t xml:space="preserve">Economic Geography. 2012. V. 12(1). P. 1–32. </w:t>
      </w:r>
      <w:proofErr w:type="spellStart"/>
      <w:r w:rsidR="002B7485" w:rsidRPr="005B670C">
        <w:rPr>
          <w:rFonts w:ascii="Times New Roman" w:hAnsi="Times New Roman" w:cs="Times New Roman"/>
          <w:sz w:val="20"/>
          <w:szCs w:val="20"/>
          <w:lang w:val="en-US"/>
        </w:rPr>
        <w:t>DOI</w:t>
      </w:r>
      <w:proofErr w:type="spellEnd"/>
      <w:r w:rsidR="002B7485" w:rsidRPr="005B670C">
        <w:rPr>
          <w:rFonts w:ascii="Times New Roman" w:hAnsi="Times New Roman" w:cs="Times New Roman"/>
          <w:sz w:val="20"/>
          <w:szCs w:val="20"/>
          <w:lang w:val="en-US"/>
        </w:rPr>
        <w:t>: 10.1093/</w:t>
      </w:r>
      <w:proofErr w:type="spellStart"/>
      <w:r w:rsidR="002B7485" w:rsidRPr="005B670C">
        <w:rPr>
          <w:rFonts w:ascii="Times New Roman" w:hAnsi="Times New Roman" w:cs="Times New Roman"/>
          <w:sz w:val="20"/>
          <w:szCs w:val="20"/>
          <w:lang w:val="en-US"/>
        </w:rPr>
        <w:t>jeg</w:t>
      </w:r>
      <w:proofErr w:type="spellEnd"/>
      <w:r w:rsidR="002B7485" w:rsidRPr="005B670C">
        <w:rPr>
          <w:rFonts w:ascii="Times New Roman" w:hAnsi="Times New Roman" w:cs="Times New Roman"/>
          <w:sz w:val="20"/>
          <w:szCs w:val="20"/>
          <w:lang w:val="en-US"/>
        </w:rPr>
        <w:t>/</w:t>
      </w:r>
      <w:proofErr w:type="spellStart"/>
      <w:r w:rsidR="002B7485" w:rsidRPr="005B670C">
        <w:rPr>
          <w:rFonts w:ascii="Times New Roman" w:hAnsi="Times New Roman" w:cs="Times New Roman"/>
          <w:sz w:val="20"/>
          <w:szCs w:val="20"/>
          <w:lang w:val="en-US"/>
        </w:rPr>
        <w:t>lbr019</w:t>
      </w:r>
      <w:proofErr w:type="spellEnd"/>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sz w:val="20"/>
          <w:szCs w:val="20"/>
          <w:lang w:val="en-US"/>
        </w:rPr>
        <w:t>Modica</w:t>
      </w:r>
      <w:proofErr w:type="spellEnd"/>
      <w:r w:rsidRPr="005B670C">
        <w:rPr>
          <w:rFonts w:ascii="Times New Roman" w:hAnsi="Times New Roman" w:cs="Times New Roman"/>
          <w:sz w:val="20"/>
          <w:szCs w:val="20"/>
          <w:lang w:val="en-US"/>
        </w:rPr>
        <w:t xml:space="preserve"> M., </w:t>
      </w:r>
      <w:proofErr w:type="spellStart"/>
      <w:r w:rsidRPr="005B670C">
        <w:rPr>
          <w:rFonts w:ascii="Times New Roman" w:hAnsi="Times New Roman" w:cs="Times New Roman"/>
          <w:sz w:val="20"/>
          <w:szCs w:val="20"/>
          <w:lang w:val="en-US"/>
        </w:rPr>
        <w:t>Reggiani</w:t>
      </w:r>
      <w:proofErr w:type="spellEnd"/>
      <w:r w:rsidRPr="005B670C">
        <w:rPr>
          <w:rFonts w:ascii="Times New Roman" w:hAnsi="Times New Roman" w:cs="Times New Roman"/>
          <w:sz w:val="20"/>
          <w:szCs w:val="20"/>
          <w:lang w:val="en-US"/>
        </w:rPr>
        <w:t xml:space="preserve"> A. Spatial Economic Resilience: Overview and Perspectives // Networks and Spatial Economics. 2015. V. 15. P. 211–233. DOI: 10.1007/s11067-014-9261-7.</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lang w:val="en-US"/>
        </w:rPr>
        <w:t xml:space="preserve">Hill E.W., </w:t>
      </w:r>
      <w:proofErr w:type="spellStart"/>
      <w:r w:rsidRPr="005B670C">
        <w:rPr>
          <w:rFonts w:ascii="Times New Roman" w:hAnsi="Times New Roman" w:cs="Times New Roman"/>
          <w:sz w:val="20"/>
          <w:szCs w:val="20"/>
          <w:lang w:val="en-US"/>
        </w:rPr>
        <w:t>Wial</w:t>
      </w:r>
      <w:proofErr w:type="spellEnd"/>
      <w:r w:rsidRPr="005B670C">
        <w:rPr>
          <w:rFonts w:ascii="Times New Roman" w:hAnsi="Times New Roman" w:cs="Times New Roman"/>
          <w:sz w:val="20"/>
          <w:szCs w:val="20"/>
          <w:lang w:val="en-US"/>
        </w:rPr>
        <w:t xml:space="preserve"> H., Wolman H. Exploring Regional Economic Resilience / Institute of Urban and Regional Development, University of California. Berkeley. Working Paper 2008-04. 2008. </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r w:rsidRPr="005B670C">
        <w:rPr>
          <w:rFonts w:ascii="Times New Roman" w:hAnsi="Times New Roman" w:cs="Times New Roman"/>
          <w:sz w:val="20"/>
          <w:szCs w:val="20"/>
          <w:lang w:val="en-US"/>
        </w:rPr>
        <w:t xml:space="preserve">Hudson R. Resilient Regions in an Uncertain World: Wishful Thinking or a Practical Reality? // Cambridge Journal of Regions, Economy and Society. </w:t>
      </w:r>
      <w:r w:rsidRPr="005B670C">
        <w:rPr>
          <w:rFonts w:ascii="Times New Roman" w:hAnsi="Times New Roman" w:cs="Times New Roman"/>
          <w:sz w:val="20"/>
          <w:szCs w:val="20"/>
        </w:rPr>
        <w:t xml:space="preserve">2010. </w:t>
      </w:r>
      <w:r w:rsidRPr="005B670C">
        <w:rPr>
          <w:rFonts w:ascii="Times New Roman" w:hAnsi="Times New Roman" w:cs="Times New Roman"/>
          <w:sz w:val="20"/>
          <w:szCs w:val="20"/>
          <w:lang w:val="en-US"/>
        </w:rPr>
        <w:t>V</w:t>
      </w:r>
      <w:r w:rsidRPr="005B670C">
        <w:rPr>
          <w:rFonts w:ascii="Times New Roman" w:hAnsi="Times New Roman" w:cs="Times New Roman"/>
          <w:sz w:val="20"/>
          <w:szCs w:val="20"/>
        </w:rPr>
        <w:t xml:space="preserve">. 3. </w:t>
      </w:r>
      <w:r w:rsidRPr="005B670C">
        <w:rPr>
          <w:rFonts w:ascii="Times New Roman" w:hAnsi="Times New Roman" w:cs="Times New Roman"/>
          <w:sz w:val="20"/>
          <w:szCs w:val="20"/>
          <w:lang w:val="en-US"/>
        </w:rPr>
        <w:t>P</w:t>
      </w:r>
      <w:r w:rsidRPr="005B670C">
        <w:rPr>
          <w:rFonts w:ascii="Times New Roman" w:hAnsi="Times New Roman" w:cs="Times New Roman"/>
          <w:sz w:val="20"/>
          <w:szCs w:val="20"/>
        </w:rPr>
        <w:t>. 11–25.</w:t>
      </w:r>
    </w:p>
    <w:p w:rsidR="002B7485" w:rsidRPr="00E053D3" w:rsidRDefault="002B7485" w:rsidP="002B7485">
      <w:pPr>
        <w:pStyle w:val="af6"/>
        <w:numPr>
          <w:ilvl w:val="0"/>
          <w:numId w:val="21"/>
        </w:numPr>
        <w:tabs>
          <w:tab w:val="left" w:pos="426"/>
        </w:tabs>
        <w:autoSpaceDE/>
        <w:autoSpaceDN/>
        <w:rPr>
          <w:rFonts w:ascii="Times New Roman" w:hAnsi="Times New Roman" w:cs="Times New Roman"/>
          <w:sz w:val="20"/>
          <w:szCs w:val="20"/>
          <w:lang w:val="de-DE"/>
        </w:rPr>
      </w:pPr>
      <w:r w:rsidRPr="005B670C">
        <w:rPr>
          <w:rFonts w:ascii="Times New Roman" w:hAnsi="Times New Roman" w:cs="Times New Roman"/>
          <w:sz w:val="20"/>
          <w:szCs w:val="20"/>
        </w:rPr>
        <w:t>Наше общее будущее. Доклад Всемирной комиссии по вопросам окружающей среды и ра</w:t>
      </w:r>
      <w:r w:rsidRPr="005B670C">
        <w:rPr>
          <w:rFonts w:ascii="Times New Roman" w:hAnsi="Times New Roman" w:cs="Times New Roman"/>
          <w:sz w:val="20"/>
          <w:szCs w:val="20"/>
        </w:rPr>
        <w:t>з</w:t>
      </w:r>
      <w:r w:rsidRPr="005B670C">
        <w:rPr>
          <w:rFonts w:ascii="Times New Roman" w:hAnsi="Times New Roman" w:cs="Times New Roman"/>
          <w:sz w:val="20"/>
          <w:szCs w:val="20"/>
        </w:rPr>
        <w:t xml:space="preserve">вития. </w:t>
      </w:r>
      <w:r w:rsidRPr="00707825">
        <w:rPr>
          <w:rFonts w:ascii="Times New Roman" w:hAnsi="Times New Roman" w:cs="Times New Roman"/>
          <w:sz w:val="20"/>
          <w:szCs w:val="20"/>
          <w:lang w:val="de-DE"/>
        </w:rPr>
        <w:t xml:space="preserve">1987. </w:t>
      </w:r>
      <w:r w:rsidRPr="00E053D3">
        <w:rPr>
          <w:rFonts w:ascii="Times New Roman" w:hAnsi="Times New Roman" w:cs="Times New Roman"/>
          <w:sz w:val="20"/>
          <w:szCs w:val="20"/>
          <w:lang w:val="de-DE"/>
        </w:rPr>
        <w:t>URL: https://www.un.org/ru/ga/pdf/</w:t>
      </w:r>
      <w:r w:rsidR="005B670C" w:rsidRPr="00E053D3">
        <w:rPr>
          <w:rFonts w:ascii="Times New Roman" w:hAnsi="Times New Roman" w:cs="Times New Roman"/>
          <w:sz w:val="20"/>
          <w:szCs w:val="20"/>
          <w:lang w:val="de-DE"/>
        </w:rPr>
        <w:t xml:space="preserve"> </w:t>
      </w:r>
      <w:r w:rsidRPr="00E053D3">
        <w:rPr>
          <w:rFonts w:ascii="Times New Roman" w:hAnsi="Times New Roman" w:cs="Times New Roman"/>
          <w:sz w:val="20"/>
          <w:szCs w:val="20"/>
          <w:lang w:val="de-DE"/>
        </w:rPr>
        <w:t>brundtland.pdf.</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r w:rsidRPr="005B670C">
        <w:rPr>
          <w:rFonts w:ascii="Times New Roman" w:hAnsi="Times New Roman" w:cs="Times New Roman"/>
          <w:sz w:val="20"/>
          <w:szCs w:val="20"/>
        </w:rPr>
        <w:t>Малкина М.Ю. Оценка устойчивости ра</w:t>
      </w:r>
      <w:r w:rsidRPr="005B670C">
        <w:rPr>
          <w:rFonts w:ascii="Times New Roman" w:hAnsi="Times New Roman" w:cs="Times New Roman"/>
          <w:sz w:val="20"/>
          <w:szCs w:val="20"/>
        </w:rPr>
        <w:t>з</w:t>
      </w:r>
      <w:r w:rsidRPr="005B670C">
        <w:rPr>
          <w:rFonts w:ascii="Times New Roman" w:hAnsi="Times New Roman" w:cs="Times New Roman"/>
          <w:sz w:val="20"/>
          <w:szCs w:val="20"/>
        </w:rPr>
        <w:t>вития региональных экономик на основе рассто</w:t>
      </w:r>
      <w:r w:rsidRPr="005B670C">
        <w:rPr>
          <w:rFonts w:ascii="Times New Roman" w:hAnsi="Times New Roman" w:cs="Times New Roman"/>
          <w:sz w:val="20"/>
          <w:szCs w:val="20"/>
        </w:rPr>
        <w:t>я</w:t>
      </w:r>
      <w:r w:rsidRPr="005B670C">
        <w:rPr>
          <w:rFonts w:ascii="Times New Roman" w:hAnsi="Times New Roman" w:cs="Times New Roman"/>
          <w:sz w:val="20"/>
          <w:szCs w:val="20"/>
        </w:rPr>
        <w:t xml:space="preserve">ний </w:t>
      </w:r>
      <w:proofErr w:type="spellStart"/>
      <w:r w:rsidRPr="005B670C">
        <w:rPr>
          <w:rFonts w:ascii="Times New Roman" w:hAnsi="Times New Roman" w:cs="Times New Roman"/>
          <w:sz w:val="20"/>
          <w:szCs w:val="20"/>
        </w:rPr>
        <w:t>махаланобиса</w:t>
      </w:r>
      <w:proofErr w:type="spellEnd"/>
      <w:r w:rsidRPr="005B670C">
        <w:rPr>
          <w:rFonts w:ascii="Times New Roman" w:hAnsi="Times New Roman" w:cs="Times New Roman"/>
          <w:sz w:val="20"/>
          <w:szCs w:val="20"/>
        </w:rPr>
        <w:t xml:space="preserve"> // </w:t>
      </w:r>
      <w:r w:rsidRPr="005B670C">
        <w:rPr>
          <w:rFonts w:ascii="Times New Roman" w:hAnsi="Times New Roman" w:cs="Times New Roman"/>
          <w:sz w:val="20"/>
          <w:szCs w:val="20"/>
          <w:lang w:val="en-US"/>
        </w:rPr>
        <w:t>Terra</w:t>
      </w:r>
      <w:r w:rsidRPr="005B670C">
        <w:rPr>
          <w:rFonts w:ascii="Times New Roman" w:hAnsi="Times New Roman" w:cs="Times New Roman"/>
          <w:sz w:val="20"/>
          <w:szCs w:val="20"/>
        </w:rPr>
        <w:t xml:space="preserve"> </w:t>
      </w:r>
      <w:proofErr w:type="spellStart"/>
      <w:r w:rsidRPr="005B670C">
        <w:rPr>
          <w:rFonts w:ascii="Times New Roman" w:hAnsi="Times New Roman" w:cs="Times New Roman"/>
          <w:sz w:val="20"/>
          <w:szCs w:val="20"/>
          <w:lang w:val="en-US"/>
        </w:rPr>
        <w:t>Economicus</w:t>
      </w:r>
      <w:proofErr w:type="spellEnd"/>
      <w:r w:rsidRPr="005B670C">
        <w:rPr>
          <w:rFonts w:ascii="Times New Roman" w:hAnsi="Times New Roman" w:cs="Times New Roman"/>
          <w:sz w:val="20"/>
          <w:szCs w:val="20"/>
        </w:rPr>
        <w:t>. 2020. Т. 18</w:t>
      </w:r>
      <w:r w:rsidRPr="005B670C">
        <w:rPr>
          <w:rFonts w:ascii="Times New Roman" w:hAnsi="Times New Roman" w:cs="Times New Roman"/>
          <w:sz w:val="20"/>
          <w:szCs w:val="20"/>
          <w:lang w:val="en-US"/>
        </w:rPr>
        <w:t>,</w:t>
      </w:r>
      <w:r w:rsidRPr="005B670C">
        <w:rPr>
          <w:rFonts w:ascii="Times New Roman" w:hAnsi="Times New Roman" w:cs="Times New Roman"/>
          <w:sz w:val="20"/>
          <w:szCs w:val="20"/>
        </w:rPr>
        <w:t xml:space="preserve"> № 3. С. 140–159. </w:t>
      </w:r>
      <w:r w:rsidRPr="005B670C">
        <w:rPr>
          <w:rFonts w:ascii="Times New Roman" w:hAnsi="Times New Roman" w:cs="Times New Roman"/>
          <w:sz w:val="20"/>
          <w:szCs w:val="20"/>
          <w:lang w:val="en-US"/>
        </w:rPr>
        <w:t>DOI</w:t>
      </w:r>
      <w:r w:rsidRPr="005B670C">
        <w:rPr>
          <w:rFonts w:ascii="Times New Roman" w:hAnsi="Times New Roman" w:cs="Times New Roman"/>
          <w:sz w:val="20"/>
          <w:szCs w:val="20"/>
        </w:rPr>
        <w:t>: 10.18522/2073-6606-2020-18-3-140-159</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rPr>
        <w:t>Регионы России. Социально-экономи</w:t>
      </w:r>
      <w:r w:rsidR="005B670C">
        <w:rPr>
          <w:rFonts w:ascii="Times New Roman" w:hAnsi="Times New Roman" w:cs="Times New Roman"/>
          <w:sz w:val="20"/>
          <w:szCs w:val="20"/>
        </w:rPr>
        <w:softHyphen/>
      </w:r>
      <w:r w:rsidRPr="005B670C">
        <w:rPr>
          <w:rFonts w:ascii="Times New Roman" w:hAnsi="Times New Roman" w:cs="Times New Roman"/>
          <w:sz w:val="20"/>
          <w:szCs w:val="20"/>
        </w:rPr>
        <w:t>чес</w:t>
      </w:r>
      <w:r w:rsidR="005B670C">
        <w:rPr>
          <w:rFonts w:ascii="Times New Roman" w:hAnsi="Times New Roman" w:cs="Times New Roman"/>
          <w:sz w:val="20"/>
          <w:szCs w:val="20"/>
        </w:rPr>
        <w:softHyphen/>
      </w:r>
      <w:r w:rsidRPr="005B670C">
        <w:rPr>
          <w:rFonts w:ascii="Times New Roman" w:hAnsi="Times New Roman" w:cs="Times New Roman"/>
          <w:sz w:val="20"/>
          <w:szCs w:val="20"/>
        </w:rPr>
        <w:t xml:space="preserve">кие показатели 2020. </w:t>
      </w:r>
      <w:r w:rsidRPr="005B670C">
        <w:rPr>
          <w:rFonts w:ascii="Times New Roman" w:hAnsi="Times New Roman" w:cs="Times New Roman"/>
          <w:sz w:val="20"/>
          <w:szCs w:val="20"/>
          <w:lang w:val="en-US"/>
        </w:rPr>
        <w:t>URL: https://gks.ru/bgd/regl/</w:t>
      </w:r>
      <w:r w:rsidR="005B670C" w:rsidRPr="005B670C">
        <w:rPr>
          <w:rFonts w:ascii="Times New Roman" w:hAnsi="Times New Roman" w:cs="Times New Roman"/>
          <w:sz w:val="20"/>
          <w:szCs w:val="20"/>
          <w:lang w:val="en-US"/>
        </w:rPr>
        <w:t xml:space="preserve"> </w:t>
      </w:r>
      <w:r w:rsidRPr="005B670C">
        <w:rPr>
          <w:rFonts w:ascii="Times New Roman" w:hAnsi="Times New Roman" w:cs="Times New Roman"/>
          <w:sz w:val="20"/>
          <w:szCs w:val="20"/>
          <w:lang w:val="en-US"/>
        </w:rPr>
        <w:t>b20_14p/Main.htm</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proofErr w:type="spellStart"/>
      <w:r w:rsidRPr="005B670C">
        <w:rPr>
          <w:rFonts w:ascii="Times New Roman" w:hAnsi="Times New Roman" w:cs="Times New Roman"/>
          <w:sz w:val="20"/>
          <w:szCs w:val="20"/>
        </w:rPr>
        <w:t>Алтунин</w:t>
      </w:r>
      <w:proofErr w:type="spellEnd"/>
      <w:r w:rsidRPr="005B670C">
        <w:rPr>
          <w:rFonts w:ascii="Times New Roman" w:hAnsi="Times New Roman" w:cs="Times New Roman"/>
          <w:sz w:val="20"/>
          <w:szCs w:val="20"/>
        </w:rPr>
        <w:t xml:space="preserve"> А.Е. Модели и алгоритмы прин</w:t>
      </w:r>
      <w:r w:rsidRPr="005B670C">
        <w:rPr>
          <w:rFonts w:ascii="Times New Roman" w:hAnsi="Times New Roman" w:cs="Times New Roman"/>
          <w:sz w:val="20"/>
          <w:szCs w:val="20"/>
        </w:rPr>
        <w:t>я</w:t>
      </w:r>
      <w:r w:rsidRPr="005B670C">
        <w:rPr>
          <w:rFonts w:ascii="Times New Roman" w:hAnsi="Times New Roman" w:cs="Times New Roman"/>
          <w:sz w:val="20"/>
          <w:szCs w:val="20"/>
        </w:rPr>
        <w:t xml:space="preserve">тия решений в нечетких условиях: монография / А.Е. </w:t>
      </w:r>
      <w:proofErr w:type="spellStart"/>
      <w:r w:rsidRPr="005B670C">
        <w:rPr>
          <w:rFonts w:ascii="Times New Roman" w:hAnsi="Times New Roman" w:cs="Times New Roman"/>
          <w:sz w:val="20"/>
          <w:szCs w:val="20"/>
        </w:rPr>
        <w:t>Алтунин</w:t>
      </w:r>
      <w:proofErr w:type="spellEnd"/>
      <w:r w:rsidRPr="005B670C">
        <w:rPr>
          <w:rFonts w:ascii="Times New Roman" w:hAnsi="Times New Roman" w:cs="Times New Roman"/>
          <w:sz w:val="20"/>
          <w:szCs w:val="20"/>
        </w:rPr>
        <w:t xml:space="preserve">, М.В. </w:t>
      </w:r>
      <w:proofErr w:type="spellStart"/>
      <w:r w:rsidRPr="005B670C">
        <w:rPr>
          <w:rFonts w:ascii="Times New Roman" w:hAnsi="Times New Roman" w:cs="Times New Roman"/>
          <w:sz w:val="20"/>
          <w:szCs w:val="20"/>
        </w:rPr>
        <w:t>Семухин</w:t>
      </w:r>
      <w:proofErr w:type="spellEnd"/>
      <w:r w:rsidRPr="005B670C">
        <w:rPr>
          <w:rFonts w:ascii="Times New Roman" w:hAnsi="Times New Roman" w:cs="Times New Roman"/>
          <w:sz w:val="20"/>
          <w:szCs w:val="20"/>
        </w:rPr>
        <w:t>. Тюмень: Изд-во Тюменского гос. ун-та, 2000. 352 с.</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r w:rsidRPr="005B670C">
        <w:rPr>
          <w:rFonts w:ascii="Times New Roman" w:hAnsi="Times New Roman" w:cs="Times New Roman"/>
          <w:sz w:val="20"/>
          <w:szCs w:val="20"/>
        </w:rPr>
        <w:t>Аверкин А.А. Мягкие вычисления и изм</w:t>
      </w:r>
      <w:r w:rsidRPr="005B670C">
        <w:rPr>
          <w:rFonts w:ascii="Times New Roman" w:hAnsi="Times New Roman" w:cs="Times New Roman"/>
          <w:sz w:val="20"/>
          <w:szCs w:val="20"/>
        </w:rPr>
        <w:t>е</w:t>
      </w:r>
      <w:r w:rsidRPr="005B670C">
        <w:rPr>
          <w:rFonts w:ascii="Times New Roman" w:hAnsi="Times New Roman" w:cs="Times New Roman"/>
          <w:sz w:val="20"/>
          <w:szCs w:val="20"/>
        </w:rPr>
        <w:t xml:space="preserve">рения: монография / А.А. Аверкин, В.Б. </w:t>
      </w:r>
      <w:proofErr w:type="spellStart"/>
      <w:r w:rsidRPr="005B670C">
        <w:rPr>
          <w:rFonts w:ascii="Times New Roman" w:hAnsi="Times New Roman" w:cs="Times New Roman"/>
          <w:sz w:val="20"/>
          <w:szCs w:val="20"/>
        </w:rPr>
        <w:t>Гисин</w:t>
      </w:r>
      <w:proofErr w:type="spellEnd"/>
      <w:r w:rsidRPr="005B670C">
        <w:rPr>
          <w:rFonts w:ascii="Times New Roman" w:hAnsi="Times New Roman" w:cs="Times New Roman"/>
          <w:sz w:val="20"/>
          <w:szCs w:val="20"/>
        </w:rPr>
        <w:t>, Е.С. Волкова и др. М.: Издательский дом «Научная библиотека», 2017. 414 с.</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proofErr w:type="spellStart"/>
      <w:r w:rsidRPr="005B670C">
        <w:rPr>
          <w:rFonts w:ascii="Times New Roman" w:hAnsi="Times New Roman" w:cs="Times New Roman"/>
          <w:sz w:val="20"/>
          <w:szCs w:val="20"/>
        </w:rPr>
        <w:t>Тененев</w:t>
      </w:r>
      <w:proofErr w:type="spellEnd"/>
      <w:r w:rsidRPr="005B670C">
        <w:rPr>
          <w:rFonts w:ascii="Times New Roman" w:hAnsi="Times New Roman" w:cs="Times New Roman"/>
          <w:sz w:val="20"/>
          <w:szCs w:val="20"/>
        </w:rPr>
        <w:t xml:space="preserve"> В.А., Паклин Н.Б. Нечетко-когни</w:t>
      </w:r>
      <w:r w:rsidR="005B670C" w:rsidRPr="005B670C">
        <w:rPr>
          <w:rFonts w:ascii="Times New Roman" w:hAnsi="Times New Roman" w:cs="Times New Roman"/>
          <w:sz w:val="20"/>
          <w:szCs w:val="20"/>
        </w:rPr>
        <w:softHyphen/>
      </w:r>
      <w:r w:rsidRPr="005B670C">
        <w:rPr>
          <w:rFonts w:ascii="Times New Roman" w:hAnsi="Times New Roman" w:cs="Times New Roman"/>
          <w:sz w:val="20"/>
          <w:szCs w:val="20"/>
        </w:rPr>
        <w:t>тивный подход к управлению динамическими си</w:t>
      </w:r>
      <w:r w:rsidRPr="005B670C">
        <w:rPr>
          <w:rFonts w:ascii="Times New Roman" w:hAnsi="Times New Roman" w:cs="Times New Roman"/>
          <w:sz w:val="20"/>
          <w:szCs w:val="20"/>
        </w:rPr>
        <w:t>с</w:t>
      </w:r>
      <w:r w:rsidRPr="005B670C">
        <w:rPr>
          <w:rFonts w:ascii="Times New Roman" w:hAnsi="Times New Roman" w:cs="Times New Roman"/>
          <w:sz w:val="20"/>
          <w:szCs w:val="20"/>
        </w:rPr>
        <w:t xml:space="preserve">темами // Искусственный интеллект. 2003. № 4. </w:t>
      </w:r>
      <w:r w:rsidR="005B670C">
        <w:rPr>
          <w:rFonts w:ascii="Times New Roman" w:hAnsi="Times New Roman" w:cs="Times New Roman"/>
          <w:sz w:val="20"/>
          <w:szCs w:val="20"/>
        </w:rPr>
        <w:br/>
      </w:r>
      <w:r w:rsidRPr="005B670C">
        <w:rPr>
          <w:rFonts w:ascii="Times New Roman" w:hAnsi="Times New Roman" w:cs="Times New Roman"/>
          <w:sz w:val="20"/>
          <w:szCs w:val="20"/>
        </w:rPr>
        <w:t>С. 342–349.</w:t>
      </w:r>
    </w:p>
    <w:p w:rsidR="002B7485" w:rsidRPr="005B670C" w:rsidRDefault="002B7485" w:rsidP="002B7485">
      <w:pPr>
        <w:pStyle w:val="af6"/>
        <w:numPr>
          <w:ilvl w:val="0"/>
          <w:numId w:val="21"/>
        </w:numPr>
        <w:tabs>
          <w:tab w:val="left" w:pos="426"/>
        </w:tabs>
        <w:autoSpaceDE/>
        <w:autoSpaceDN/>
        <w:rPr>
          <w:rFonts w:ascii="Times New Roman" w:hAnsi="Times New Roman" w:cs="Times New Roman"/>
          <w:sz w:val="20"/>
          <w:szCs w:val="20"/>
        </w:rPr>
      </w:pPr>
      <w:r w:rsidRPr="005B670C">
        <w:rPr>
          <w:rFonts w:ascii="Times New Roman" w:hAnsi="Times New Roman" w:cs="Times New Roman"/>
          <w:sz w:val="20"/>
          <w:szCs w:val="20"/>
        </w:rPr>
        <w:t>Шаталова О.М. Методология измерения региональной эффективности технологических инноваций в реализации механизмов стимулир</w:t>
      </w:r>
      <w:r w:rsidRPr="005B670C">
        <w:rPr>
          <w:rFonts w:ascii="Times New Roman" w:hAnsi="Times New Roman" w:cs="Times New Roman"/>
          <w:sz w:val="20"/>
          <w:szCs w:val="20"/>
        </w:rPr>
        <w:t>о</w:t>
      </w:r>
      <w:r w:rsidRPr="005B670C">
        <w:rPr>
          <w:rFonts w:ascii="Times New Roman" w:hAnsi="Times New Roman" w:cs="Times New Roman"/>
          <w:sz w:val="20"/>
          <w:szCs w:val="20"/>
        </w:rPr>
        <w:t xml:space="preserve">вания инновационной активности (на примере Удмуртской Республики). Ижевск: </w:t>
      </w:r>
      <w:proofErr w:type="spellStart"/>
      <w:r w:rsidRPr="005B670C">
        <w:rPr>
          <w:rFonts w:ascii="Times New Roman" w:hAnsi="Times New Roman" w:cs="Times New Roman"/>
          <w:sz w:val="20"/>
          <w:szCs w:val="20"/>
        </w:rPr>
        <w:t>Инст-т</w:t>
      </w:r>
      <w:proofErr w:type="spellEnd"/>
      <w:r w:rsidRPr="005B670C">
        <w:rPr>
          <w:rFonts w:ascii="Times New Roman" w:hAnsi="Times New Roman" w:cs="Times New Roman"/>
          <w:sz w:val="20"/>
          <w:szCs w:val="20"/>
        </w:rPr>
        <w:t xml:space="preserve"> </w:t>
      </w:r>
      <w:proofErr w:type="spellStart"/>
      <w:r w:rsidRPr="005B670C">
        <w:rPr>
          <w:rFonts w:ascii="Times New Roman" w:hAnsi="Times New Roman" w:cs="Times New Roman"/>
          <w:sz w:val="20"/>
          <w:szCs w:val="20"/>
        </w:rPr>
        <w:t>комп</w:t>
      </w:r>
      <w:proofErr w:type="spellEnd"/>
      <w:r w:rsidRPr="005B670C">
        <w:rPr>
          <w:rFonts w:ascii="Times New Roman" w:hAnsi="Times New Roman" w:cs="Times New Roman"/>
          <w:sz w:val="20"/>
          <w:szCs w:val="20"/>
        </w:rPr>
        <w:t>.</w:t>
      </w:r>
      <w:r w:rsidR="005B670C">
        <w:rPr>
          <w:rFonts w:ascii="Times New Roman" w:hAnsi="Times New Roman" w:cs="Times New Roman"/>
          <w:sz w:val="20"/>
          <w:szCs w:val="20"/>
        </w:rPr>
        <w:t xml:space="preserve"> </w:t>
      </w:r>
      <w:r w:rsidRPr="005B670C">
        <w:rPr>
          <w:rFonts w:ascii="Times New Roman" w:hAnsi="Times New Roman" w:cs="Times New Roman"/>
          <w:sz w:val="20"/>
          <w:szCs w:val="20"/>
        </w:rPr>
        <w:t xml:space="preserve">исследований, 2015. 256 с. </w:t>
      </w:r>
    </w:p>
    <w:p w:rsidR="002B7485" w:rsidRPr="005B670C" w:rsidRDefault="002B7485" w:rsidP="002B7485">
      <w:pPr>
        <w:ind w:firstLine="397"/>
      </w:pPr>
    </w:p>
    <w:p w:rsidR="002B7485" w:rsidRPr="005B670C" w:rsidRDefault="002B7485" w:rsidP="002B7485">
      <w:pPr>
        <w:ind w:firstLine="397"/>
      </w:pPr>
    </w:p>
    <w:p w:rsidR="005B670C" w:rsidRDefault="005B670C">
      <w:pPr>
        <w:autoSpaceDE/>
        <w:autoSpaceDN/>
        <w:jc w:val="left"/>
        <w:rPr>
          <w:b/>
          <w:szCs w:val="18"/>
          <w:lang w:val="en-US"/>
        </w:rPr>
      </w:pPr>
      <w:r>
        <w:rPr>
          <w:b/>
          <w:szCs w:val="18"/>
          <w:lang w:val="en-US"/>
        </w:rPr>
        <w:br w:type="page"/>
      </w:r>
    </w:p>
    <w:p w:rsidR="002B7485" w:rsidRPr="002B7485" w:rsidRDefault="005201E1" w:rsidP="002B7485">
      <w:pPr>
        <w:tabs>
          <w:tab w:val="left" w:pos="993"/>
        </w:tabs>
        <w:jc w:val="right"/>
        <w:rPr>
          <w:b/>
          <w:szCs w:val="18"/>
          <w:lang w:val="en-US"/>
        </w:rPr>
      </w:pPr>
      <w:r>
        <w:rPr>
          <w:b/>
          <w:noProof/>
          <w:szCs w:val="18"/>
        </w:rPr>
        <w:lastRenderedPageBreak/>
        <w:pict>
          <v:shape id="_x0000_s1419" type="#_x0000_t202" style="position:absolute;left:0;text-align:left;margin-left:-2.9pt;margin-top:-.6pt;width:469pt;height:685.5pt;z-index:251661312" stroked="f">
            <v:textbox>
              <w:txbxContent>
                <w:p w:rsidR="00F332D6" w:rsidRPr="002B7485" w:rsidRDefault="00F332D6" w:rsidP="005B670C">
                  <w:pPr>
                    <w:tabs>
                      <w:tab w:val="left" w:pos="993"/>
                    </w:tabs>
                    <w:jc w:val="right"/>
                    <w:rPr>
                      <w:rFonts w:ascii="Arial" w:hAnsi="Arial" w:cs="Arial"/>
                      <w:b/>
                      <w:szCs w:val="18"/>
                      <w:lang w:val="en-US"/>
                    </w:rPr>
                  </w:pPr>
                  <w:r w:rsidRPr="002B7485">
                    <w:rPr>
                      <w:rFonts w:ascii="Arial" w:hAnsi="Arial" w:cs="Arial"/>
                      <w:b/>
                      <w:szCs w:val="18"/>
                      <w:lang w:val="en-US"/>
                    </w:rPr>
                    <w:t>DOI: 10.14529/em210406</w:t>
                  </w:r>
                </w:p>
                <w:p w:rsidR="00F332D6" w:rsidRPr="002B7485" w:rsidRDefault="00F332D6" w:rsidP="005B670C">
                  <w:pPr>
                    <w:spacing w:before="120" w:after="120"/>
                    <w:jc w:val="left"/>
                    <w:rPr>
                      <w:rFonts w:ascii="Arial" w:hAnsi="Arial" w:cs="Arial"/>
                      <w:b/>
                      <w:sz w:val="28"/>
                      <w:lang w:val="en-US"/>
                    </w:rPr>
                  </w:pPr>
                  <w:r w:rsidRPr="002B7485">
                    <w:rPr>
                      <w:rFonts w:ascii="Arial" w:hAnsi="Arial" w:cs="Arial"/>
                      <w:b/>
                      <w:sz w:val="28"/>
                      <w:lang w:val="en-US"/>
                    </w:rPr>
                    <w:t xml:space="preserve">METHOD FOR ASSESSING REGIONAL INDICATORS </w:t>
                  </w:r>
                  <w:r w:rsidRPr="002B7485">
                    <w:rPr>
                      <w:rFonts w:ascii="Arial" w:hAnsi="Arial" w:cs="Arial"/>
                      <w:b/>
                      <w:sz w:val="28"/>
                      <w:lang w:val="en-US"/>
                    </w:rPr>
                    <w:br/>
                    <w:t>OF SUSTAINABLE DEVELOPMENT INDUSTRY AND INNOVATION</w:t>
                  </w:r>
                </w:p>
                <w:p w:rsidR="00F332D6" w:rsidRPr="002B7485" w:rsidRDefault="00F332D6" w:rsidP="005B670C">
                  <w:pPr>
                    <w:spacing w:after="60"/>
                    <w:jc w:val="left"/>
                    <w:rPr>
                      <w:rFonts w:ascii="Arial" w:hAnsi="Arial" w:cs="Arial"/>
                      <w:b/>
                      <w:bCs/>
                      <w:i/>
                      <w:sz w:val="24"/>
                      <w:vertAlign w:val="superscript"/>
                      <w:lang w:val="en-US"/>
                    </w:rPr>
                  </w:pPr>
                  <w:proofErr w:type="spellStart"/>
                  <w:r w:rsidRPr="002B7485">
                    <w:rPr>
                      <w:rFonts w:ascii="Arial" w:hAnsi="Arial" w:cs="Arial"/>
                      <w:b/>
                      <w:bCs/>
                      <w:i/>
                      <w:sz w:val="24"/>
                      <w:lang w:val="en-US"/>
                    </w:rPr>
                    <w:t>O.M.</w:t>
                  </w:r>
                  <w:proofErr w:type="spellEnd"/>
                  <w:r w:rsidRPr="002B7485">
                    <w:rPr>
                      <w:rFonts w:ascii="Arial" w:hAnsi="Arial" w:cs="Arial"/>
                      <w:b/>
                      <w:bCs/>
                      <w:i/>
                      <w:sz w:val="24"/>
                      <w:lang w:val="en-US"/>
                    </w:rPr>
                    <w:t xml:space="preserve"> </w:t>
                  </w:r>
                  <w:proofErr w:type="spellStart"/>
                  <w:r w:rsidRPr="002B7485">
                    <w:rPr>
                      <w:rFonts w:ascii="Arial" w:hAnsi="Arial" w:cs="Arial"/>
                      <w:b/>
                      <w:bCs/>
                      <w:i/>
                      <w:sz w:val="24"/>
                      <w:lang w:val="en-US"/>
                    </w:rPr>
                    <w:t>Shatalova</w:t>
                  </w:r>
                  <w:r w:rsidRPr="002B7485">
                    <w:rPr>
                      <w:rFonts w:ascii="Arial" w:hAnsi="Arial" w:cs="Arial"/>
                      <w:b/>
                      <w:bCs/>
                      <w:i/>
                      <w:sz w:val="24"/>
                      <w:vertAlign w:val="superscript"/>
                      <w:lang w:val="en-US"/>
                    </w:rPr>
                    <w:t>1</w:t>
                  </w:r>
                  <w:proofErr w:type="spellEnd"/>
                  <w:r w:rsidRPr="002B7485">
                    <w:rPr>
                      <w:rFonts w:ascii="Arial" w:hAnsi="Arial" w:cs="Arial"/>
                      <w:b/>
                      <w:bCs/>
                      <w:i/>
                      <w:sz w:val="24"/>
                      <w:lang w:val="en-US"/>
                    </w:rPr>
                    <w:t xml:space="preserve">, </w:t>
                  </w:r>
                  <w:proofErr w:type="spellStart"/>
                  <w:r w:rsidRPr="002B7485">
                    <w:rPr>
                      <w:rFonts w:ascii="Arial" w:hAnsi="Arial" w:cs="Arial"/>
                      <w:b/>
                      <w:bCs/>
                      <w:i/>
                      <w:sz w:val="24"/>
                      <w:lang w:val="en-US"/>
                    </w:rPr>
                    <w:t>Yu.G</w:t>
                  </w:r>
                  <w:proofErr w:type="spellEnd"/>
                  <w:r w:rsidRPr="002B7485">
                    <w:rPr>
                      <w:rFonts w:ascii="Arial" w:hAnsi="Arial" w:cs="Arial"/>
                      <w:b/>
                      <w:bCs/>
                      <w:i/>
                      <w:sz w:val="24"/>
                      <w:lang w:val="en-US"/>
                    </w:rPr>
                    <w:t>. Kuzmenko</w:t>
                  </w:r>
                  <w:r w:rsidRPr="002B7485">
                    <w:rPr>
                      <w:rFonts w:ascii="Arial" w:hAnsi="Arial" w:cs="Arial"/>
                      <w:b/>
                      <w:bCs/>
                      <w:i/>
                      <w:sz w:val="24"/>
                      <w:vertAlign w:val="superscript"/>
                      <w:lang w:val="en-US"/>
                    </w:rPr>
                    <w:t>2</w:t>
                  </w:r>
                </w:p>
                <w:p w:rsidR="00F332D6" w:rsidRPr="005B670C" w:rsidRDefault="00F332D6" w:rsidP="005B670C">
                  <w:pPr>
                    <w:jc w:val="left"/>
                    <w:rPr>
                      <w:rFonts w:ascii="Arial" w:hAnsi="Arial" w:cs="Arial"/>
                      <w:i/>
                      <w:sz w:val="22"/>
                      <w:szCs w:val="22"/>
                      <w:lang w:val="en-US"/>
                    </w:rPr>
                  </w:pPr>
                  <w:r w:rsidRPr="005B670C">
                    <w:rPr>
                      <w:rFonts w:ascii="Arial" w:hAnsi="Arial" w:cs="Arial"/>
                      <w:i/>
                      <w:sz w:val="22"/>
                      <w:szCs w:val="22"/>
                      <w:vertAlign w:val="superscript"/>
                      <w:lang w:val="en-US"/>
                    </w:rPr>
                    <w:t xml:space="preserve">1 </w:t>
                  </w:r>
                  <w:r w:rsidRPr="005B670C">
                    <w:rPr>
                      <w:rFonts w:ascii="Arial" w:hAnsi="Arial" w:cs="Arial"/>
                      <w:i/>
                      <w:sz w:val="22"/>
                      <w:szCs w:val="22"/>
                      <w:lang w:val="en-US"/>
                    </w:rPr>
                    <w:t xml:space="preserve">Udmurt Branch of the Institute of Economics of the Ural Branch of the Russian Academy </w:t>
                  </w:r>
                  <w:r w:rsidRPr="005B670C">
                    <w:rPr>
                      <w:rFonts w:ascii="Arial" w:hAnsi="Arial" w:cs="Arial"/>
                      <w:i/>
                      <w:sz w:val="22"/>
                      <w:szCs w:val="22"/>
                      <w:lang w:val="en-US"/>
                    </w:rPr>
                    <w:br/>
                    <w:t xml:space="preserve">  of Sciences, Izhevsk, Russian Federation</w:t>
                  </w:r>
                </w:p>
                <w:p w:rsidR="00F332D6" w:rsidRPr="005B670C" w:rsidRDefault="00F332D6" w:rsidP="005B670C">
                  <w:pPr>
                    <w:jc w:val="left"/>
                    <w:rPr>
                      <w:rFonts w:ascii="Arial" w:hAnsi="Arial" w:cs="Arial"/>
                      <w:i/>
                      <w:sz w:val="22"/>
                      <w:szCs w:val="22"/>
                      <w:lang w:val="en-US"/>
                    </w:rPr>
                  </w:pPr>
                  <w:r w:rsidRPr="005B670C">
                    <w:rPr>
                      <w:rFonts w:ascii="Arial" w:hAnsi="Arial" w:cs="Arial"/>
                      <w:i/>
                      <w:sz w:val="22"/>
                      <w:szCs w:val="22"/>
                      <w:vertAlign w:val="superscript"/>
                      <w:lang w:val="en-US"/>
                    </w:rPr>
                    <w:t xml:space="preserve">2 </w:t>
                  </w:r>
                  <w:r w:rsidRPr="005B670C">
                    <w:rPr>
                      <w:rFonts w:ascii="Arial" w:hAnsi="Arial" w:cs="Arial"/>
                      <w:i/>
                      <w:sz w:val="22"/>
                      <w:szCs w:val="22"/>
                      <w:lang w:val="en-US"/>
                    </w:rPr>
                    <w:t>South Ural State University, Chelyabinsk, Russian Federation</w:t>
                  </w:r>
                </w:p>
                <w:p w:rsidR="00F332D6" w:rsidRPr="002B7485" w:rsidRDefault="00F332D6" w:rsidP="005B670C">
                  <w:pPr>
                    <w:tabs>
                      <w:tab w:val="left" w:pos="1134"/>
                    </w:tabs>
                    <w:ind w:left="1134" w:firstLine="397"/>
                    <w:rPr>
                      <w:sz w:val="19"/>
                      <w:szCs w:val="19"/>
                      <w:lang w:val="en-US"/>
                    </w:rPr>
                  </w:pPr>
                </w:p>
                <w:p w:rsidR="00F332D6" w:rsidRPr="002B7485" w:rsidRDefault="00F332D6" w:rsidP="005B670C">
                  <w:pPr>
                    <w:tabs>
                      <w:tab w:val="left" w:pos="1134"/>
                    </w:tabs>
                    <w:ind w:left="1134" w:firstLine="397"/>
                    <w:rPr>
                      <w:sz w:val="19"/>
                      <w:szCs w:val="19"/>
                      <w:lang w:val="en-US"/>
                    </w:rPr>
                  </w:pPr>
                </w:p>
                <w:p w:rsidR="00F332D6" w:rsidRPr="002B7485" w:rsidRDefault="00F332D6" w:rsidP="005B670C">
                  <w:pPr>
                    <w:ind w:left="1134" w:firstLine="397"/>
                    <w:rPr>
                      <w:sz w:val="19"/>
                      <w:szCs w:val="19"/>
                      <w:lang w:val="en-US"/>
                    </w:rPr>
                  </w:pPr>
                  <w:r w:rsidRPr="002B7485">
                    <w:rPr>
                      <w:sz w:val="19"/>
                      <w:szCs w:val="19"/>
                      <w:lang w:val="en-US"/>
                    </w:rPr>
                    <w:t>The article presents a method developed by the authors for assessing regional indicators of sustai</w:t>
                  </w:r>
                  <w:r w:rsidRPr="002B7485">
                    <w:rPr>
                      <w:sz w:val="19"/>
                      <w:szCs w:val="19"/>
                      <w:lang w:val="en-US"/>
                    </w:rPr>
                    <w:t>n</w:t>
                  </w:r>
                  <w:r w:rsidRPr="002B7485">
                    <w:rPr>
                      <w:sz w:val="19"/>
                      <w:szCs w:val="19"/>
                      <w:lang w:val="en-US"/>
                    </w:rPr>
                    <w:t>able development in the field of industry and innovation. The proposed method is based on the unde</w:t>
                  </w:r>
                  <w:r w:rsidRPr="002B7485">
                    <w:rPr>
                      <w:sz w:val="19"/>
                      <w:szCs w:val="19"/>
                      <w:lang w:val="en-US"/>
                    </w:rPr>
                    <w:t>r</w:t>
                  </w:r>
                  <w:r w:rsidRPr="002B7485">
                    <w:rPr>
                      <w:sz w:val="19"/>
                      <w:szCs w:val="19"/>
                      <w:lang w:val="en-US"/>
                    </w:rPr>
                    <w:t>standing of sustainability from the standpoint of Sustainable Development, as laid down in the UN co</w:t>
                  </w:r>
                  <w:r w:rsidRPr="002B7485">
                    <w:rPr>
                      <w:sz w:val="19"/>
                      <w:szCs w:val="19"/>
                      <w:lang w:val="en-US"/>
                    </w:rPr>
                    <w:t>n</w:t>
                  </w:r>
                  <w:r w:rsidRPr="002B7485">
                    <w:rPr>
                      <w:sz w:val="19"/>
                      <w:szCs w:val="19"/>
                      <w:lang w:val="en-US"/>
                    </w:rPr>
                    <w:t>cept. The authors’ method includes a structural model of decomposition of the corresponding national indicators and an algorithm for assessing the integral indicator of sustainable development of a region in the field of industry and innovation (</w:t>
                  </w:r>
                  <w:proofErr w:type="spellStart"/>
                  <w:proofErr w:type="gramStart"/>
                  <w:r w:rsidRPr="002B7485">
                    <w:rPr>
                      <w:sz w:val="19"/>
                      <w:szCs w:val="19"/>
                      <w:lang w:val="en-US"/>
                    </w:rPr>
                    <w:t>SD</w:t>
                  </w:r>
                  <w:r w:rsidRPr="002B7485">
                    <w:rPr>
                      <w:sz w:val="19"/>
                      <w:szCs w:val="19"/>
                      <w:vertAlign w:val="subscript"/>
                      <w:lang w:val="en-US"/>
                    </w:rPr>
                    <w:t>ind</w:t>
                  </w:r>
                  <w:proofErr w:type="spellEnd"/>
                  <w:r w:rsidRPr="002B7485">
                    <w:rPr>
                      <w:sz w:val="19"/>
                      <w:szCs w:val="19"/>
                      <w:vertAlign w:val="subscript"/>
                      <w:lang w:val="en-US"/>
                    </w:rPr>
                    <w:t>(</w:t>
                  </w:r>
                  <w:proofErr w:type="gramEnd"/>
                  <w:r w:rsidRPr="002B7485">
                    <w:rPr>
                      <w:sz w:val="19"/>
                      <w:szCs w:val="19"/>
                      <w:vertAlign w:val="subscript"/>
                      <w:lang w:val="en-US"/>
                    </w:rPr>
                    <w:t>9)</w:t>
                  </w:r>
                  <w:r w:rsidRPr="002B7485">
                    <w:rPr>
                      <w:sz w:val="19"/>
                      <w:szCs w:val="19"/>
                      <w:lang w:val="en-US"/>
                    </w:rPr>
                    <w:t>). The structural model of decomposition of national indic</w:t>
                  </w:r>
                  <w:r w:rsidRPr="002B7485">
                    <w:rPr>
                      <w:sz w:val="19"/>
                      <w:szCs w:val="19"/>
                      <w:lang w:val="en-US"/>
                    </w:rPr>
                    <w:t>a</w:t>
                  </w:r>
                  <w:r w:rsidRPr="002B7485">
                    <w:rPr>
                      <w:sz w:val="19"/>
                      <w:szCs w:val="19"/>
                      <w:lang w:val="en-US"/>
                    </w:rPr>
                    <w:t>tors of sustainable development has been developed in the context of the existing system of state regio</w:t>
                  </w:r>
                  <w:r w:rsidRPr="002B7485">
                    <w:rPr>
                      <w:sz w:val="19"/>
                      <w:szCs w:val="19"/>
                      <w:lang w:val="en-US"/>
                    </w:rPr>
                    <w:t>n</w:t>
                  </w:r>
                  <w:r w:rsidRPr="002B7485">
                    <w:rPr>
                      <w:sz w:val="19"/>
                      <w:szCs w:val="19"/>
                      <w:lang w:val="en-US"/>
                    </w:rPr>
                    <w:t xml:space="preserve">al statistics. The estimation of the integral indicator </w:t>
                  </w:r>
                  <w:proofErr w:type="spellStart"/>
                  <w:proofErr w:type="gramStart"/>
                  <w:r w:rsidRPr="002B7485">
                    <w:rPr>
                      <w:sz w:val="19"/>
                      <w:szCs w:val="19"/>
                      <w:lang w:val="en-US"/>
                    </w:rPr>
                    <w:t>SD</w:t>
                  </w:r>
                  <w:r w:rsidRPr="002B7485">
                    <w:rPr>
                      <w:sz w:val="19"/>
                      <w:szCs w:val="19"/>
                      <w:vertAlign w:val="subscript"/>
                      <w:lang w:val="en-US"/>
                    </w:rPr>
                    <w:t>ind</w:t>
                  </w:r>
                  <w:proofErr w:type="spellEnd"/>
                  <w:r w:rsidRPr="002B7485">
                    <w:rPr>
                      <w:sz w:val="19"/>
                      <w:szCs w:val="19"/>
                      <w:vertAlign w:val="subscript"/>
                      <w:lang w:val="en-US"/>
                    </w:rPr>
                    <w:t>(</w:t>
                  </w:r>
                  <w:proofErr w:type="gramEnd"/>
                  <w:r w:rsidRPr="002B7485">
                    <w:rPr>
                      <w:sz w:val="19"/>
                      <w:szCs w:val="19"/>
                      <w:vertAlign w:val="subscript"/>
                      <w:lang w:val="en-US"/>
                    </w:rPr>
                    <w:t>9)</w:t>
                  </w:r>
                  <w:r w:rsidRPr="002B7485">
                    <w:rPr>
                      <w:sz w:val="19"/>
                      <w:szCs w:val="19"/>
                      <w:lang w:val="en-US"/>
                    </w:rPr>
                    <w:t xml:space="preserve"> is implemented using an intelligent proc</w:t>
                  </w:r>
                  <w:r w:rsidRPr="002B7485">
                    <w:rPr>
                      <w:sz w:val="19"/>
                      <w:szCs w:val="19"/>
                      <w:lang w:val="en-US"/>
                    </w:rPr>
                    <w:t>e</w:t>
                  </w:r>
                  <w:r w:rsidRPr="002B7485">
                    <w:rPr>
                      <w:sz w:val="19"/>
                      <w:szCs w:val="19"/>
                      <w:lang w:val="en-US"/>
                    </w:rPr>
                    <w:t xml:space="preserve">dure of fuzzy inference. The </w:t>
                  </w:r>
                  <w:proofErr w:type="spellStart"/>
                  <w:r w:rsidRPr="002B7485">
                    <w:rPr>
                      <w:sz w:val="19"/>
                      <w:szCs w:val="19"/>
                      <w:lang w:val="en-US"/>
                    </w:rPr>
                    <w:t>SD</w:t>
                  </w:r>
                  <w:r w:rsidRPr="002B7485">
                    <w:rPr>
                      <w:sz w:val="19"/>
                      <w:szCs w:val="19"/>
                      <w:vertAlign w:val="subscript"/>
                      <w:lang w:val="en-US"/>
                    </w:rPr>
                    <w:t>ind</w:t>
                  </w:r>
                  <w:proofErr w:type="spellEnd"/>
                  <w:r w:rsidRPr="002B7485">
                    <w:rPr>
                      <w:sz w:val="19"/>
                      <w:szCs w:val="19"/>
                      <w:vertAlign w:val="subscript"/>
                      <w:lang w:val="en-US"/>
                    </w:rPr>
                    <w:t>(9)</w:t>
                  </w:r>
                  <w:r w:rsidRPr="002B7485">
                    <w:rPr>
                      <w:sz w:val="19"/>
                      <w:szCs w:val="19"/>
                      <w:lang w:val="en-US"/>
                    </w:rPr>
                    <w:t xml:space="preserve"> integral indicator serves the purpose of comparative characteristics of regions (in the studied population) according to criteria that are important for achieving the goal of the country's industrial and innovative development and are fixed in the system of national indicators of sustainable development. A comparative assessment allows </w:t>
                  </w:r>
                  <w:proofErr w:type="gramStart"/>
                  <w:r w:rsidRPr="002B7485">
                    <w:rPr>
                      <w:sz w:val="19"/>
                      <w:szCs w:val="19"/>
                      <w:lang w:val="en-US"/>
                    </w:rPr>
                    <w:t>to form</w:t>
                  </w:r>
                  <w:proofErr w:type="gramEnd"/>
                  <w:r w:rsidRPr="002B7485">
                    <w:rPr>
                      <w:sz w:val="19"/>
                      <w:szCs w:val="19"/>
                      <w:lang w:val="en-US"/>
                    </w:rPr>
                    <w:t xml:space="preserve"> reasonable judgments about the best practices of regional management in the field of industrial and innovative development and the poss</w:t>
                  </w:r>
                  <w:r w:rsidRPr="002B7485">
                    <w:rPr>
                      <w:sz w:val="19"/>
                      <w:szCs w:val="19"/>
                      <w:lang w:val="en-US"/>
                    </w:rPr>
                    <w:t>i</w:t>
                  </w:r>
                  <w:r w:rsidRPr="002B7485">
                    <w:rPr>
                      <w:sz w:val="19"/>
                      <w:szCs w:val="19"/>
                      <w:lang w:val="en-US"/>
                    </w:rPr>
                    <w:t>bilities of their scaling in similar regions of the Russian Federation.</w:t>
                  </w:r>
                </w:p>
                <w:p w:rsidR="00F332D6" w:rsidRPr="002B7485" w:rsidRDefault="00F332D6" w:rsidP="005B670C">
                  <w:pPr>
                    <w:ind w:left="1134" w:firstLine="397"/>
                    <w:rPr>
                      <w:sz w:val="19"/>
                      <w:szCs w:val="19"/>
                      <w:lang w:val="en-US"/>
                    </w:rPr>
                  </w:pPr>
                  <w:r w:rsidRPr="002B7485">
                    <w:rPr>
                      <w:b/>
                      <w:bCs/>
                      <w:sz w:val="19"/>
                      <w:szCs w:val="19"/>
                      <w:lang w:val="en-US"/>
                    </w:rPr>
                    <w:t>Keywords:</w:t>
                  </w:r>
                  <w:r w:rsidRPr="002B7485">
                    <w:rPr>
                      <w:sz w:val="19"/>
                      <w:szCs w:val="19"/>
                      <w:lang w:val="en-US"/>
                    </w:rPr>
                    <w:t xml:space="preserve"> regional economy, sustainable development, resilience, stability, industry, regional policy, innovation policy, industrial policy, fuzzy-set modeling, regional statistics.</w:t>
                  </w:r>
                </w:p>
                <w:p w:rsidR="00F332D6" w:rsidRPr="002B7485" w:rsidRDefault="00F332D6" w:rsidP="005B670C">
                  <w:pPr>
                    <w:ind w:left="1134" w:firstLine="397"/>
                    <w:rPr>
                      <w:sz w:val="19"/>
                      <w:szCs w:val="19"/>
                      <w:lang w:val="en-US"/>
                    </w:rPr>
                  </w:pPr>
                </w:p>
                <w:p w:rsidR="00F332D6" w:rsidRPr="002B7485" w:rsidRDefault="00F332D6" w:rsidP="005B670C">
                  <w:pPr>
                    <w:ind w:left="1134" w:firstLine="397"/>
                    <w:rPr>
                      <w:sz w:val="19"/>
                      <w:szCs w:val="19"/>
                      <w:lang w:val="en-US"/>
                    </w:rPr>
                  </w:pPr>
                </w:p>
                <w:p w:rsidR="00F332D6" w:rsidRPr="002B7485" w:rsidRDefault="00F332D6" w:rsidP="005B670C">
                  <w:pPr>
                    <w:contextualSpacing/>
                    <w:jc w:val="center"/>
                  </w:pPr>
                  <w:r w:rsidRPr="002B7485">
                    <w:rPr>
                      <w:b/>
                      <w:bCs/>
                      <w:lang w:val="en-US"/>
                    </w:rPr>
                    <w:t>References</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i/>
                      <w:sz w:val="20"/>
                      <w:szCs w:val="20"/>
                      <w:lang w:val="en-US"/>
                    </w:rPr>
                    <w:t>Rossijskij</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statisticheskij</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ezhegodnik</w:t>
                  </w:r>
                  <w:proofErr w:type="spellEnd"/>
                  <w:r w:rsidRPr="005B670C">
                    <w:rPr>
                      <w:rFonts w:ascii="Times New Roman" w:hAnsi="Times New Roman" w:cs="Times New Roman"/>
                      <w:sz w:val="20"/>
                      <w:szCs w:val="20"/>
                      <w:lang w:val="en-US"/>
                    </w:rPr>
                    <w:t xml:space="preserve"> [Russian statistical yearbook]. 2020. Available at: https://gks.ru/bgd/regl/b20_13/Main.htm (in Russ.)</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sz w:val="20"/>
                      <w:szCs w:val="20"/>
                      <w:lang w:val="en-US"/>
                    </w:rPr>
                    <w:t>Kravchenko</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sz w:val="20"/>
                      <w:szCs w:val="20"/>
                      <w:lang w:val="en-US"/>
                    </w:rPr>
                    <w:t>N.A.</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sz w:val="20"/>
                      <w:szCs w:val="20"/>
                      <w:lang w:val="en-US"/>
                    </w:rPr>
                    <w:t>Ageeva</w:t>
                  </w:r>
                  <w:proofErr w:type="spellEnd"/>
                  <w:r w:rsidRPr="005B670C">
                    <w:rPr>
                      <w:rFonts w:ascii="Times New Roman" w:hAnsi="Times New Roman" w:cs="Times New Roman"/>
                      <w:sz w:val="20"/>
                      <w:szCs w:val="20"/>
                      <w:lang w:val="en-US"/>
                    </w:rPr>
                    <w:t xml:space="preserve"> S.D. [Diversification of the Economy: Institutional Aspects]. </w:t>
                  </w:r>
                  <w:r w:rsidRPr="005B670C">
                    <w:rPr>
                      <w:rFonts w:ascii="Times New Roman" w:hAnsi="Times New Roman" w:cs="Times New Roman"/>
                      <w:i/>
                      <w:sz w:val="20"/>
                      <w:szCs w:val="20"/>
                      <w:lang w:val="en-US"/>
                    </w:rPr>
                    <w:t>Journal of Inst</w:t>
                  </w:r>
                  <w:r w:rsidRPr="005B670C">
                    <w:rPr>
                      <w:rFonts w:ascii="Times New Roman" w:hAnsi="Times New Roman" w:cs="Times New Roman"/>
                      <w:i/>
                      <w:sz w:val="20"/>
                      <w:szCs w:val="20"/>
                      <w:lang w:val="en-US"/>
                    </w:rPr>
                    <w:t>i</w:t>
                  </w:r>
                  <w:r w:rsidRPr="005B670C">
                    <w:rPr>
                      <w:rFonts w:ascii="Times New Roman" w:hAnsi="Times New Roman" w:cs="Times New Roman"/>
                      <w:i/>
                      <w:sz w:val="20"/>
                      <w:szCs w:val="20"/>
                      <w:lang w:val="en-US"/>
                    </w:rPr>
                    <w:t>tutional Research</w:t>
                  </w:r>
                  <w:r w:rsidRPr="005B670C">
                    <w:rPr>
                      <w:rFonts w:ascii="Times New Roman" w:hAnsi="Times New Roman" w:cs="Times New Roman"/>
                      <w:sz w:val="20"/>
                      <w:szCs w:val="20"/>
                      <w:lang w:val="en-US"/>
                    </w:rPr>
                    <w:t>, 2017, vol. 9 (4), pp. 52–67. DOI: 10.17835 / 2076-6297.2017.9.4.052-067. (</w:t>
                  </w:r>
                  <w:proofErr w:type="gramStart"/>
                  <w:r w:rsidRPr="005B670C">
                    <w:rPr>
                      <w:rFonts w:ascii="Times New Roman" w:hAnsi="Times New Roman" w:cs="Times New Roman"/>
                      <w:sz w:val="20"/>
                      <w:szCs w:val="20"/>
                      <w:lang w:val="en-US"/>
                    </w:rPr>
                    <w:t>in</w:t>
                  </w:r>
                  <w:proofErr w:type="gramEnd"/>
                  <w:r w:rsidRPr="005B670C">
                    <w:rPr>
                      <w:rFonts w:ascii="Times New Roman" w:hAnsi="Times New Roman" w:cs="Times New Roman"/>
                      <w:sz w:val="20"/>
                      <w:szCs w:val="20"/>
                      <w:lang w:val="en-US"/>
                    </w:rPr>
                    <w:t xml:space="preserve"> Russ.)</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lang w:val="en-US"/>
                    </w:rPr>
                    <w:t xml:space="preserve">EBRD () </w:t>
                  </w:r>
                  <w:r w:rsidRPr="005B670C">
                    <w:rPr>
                      <w:rFonts w:ascii="Times New Roman" w:hAnsi="Times New Roman" w:cs="Times New Roman"/>
                      <w:i/>
                      <w:sz w:val="20"/>
                      <w:szCs w:val="20"/>
                      <w:lang w:val="en-US"/>
                    </w:rPr>
                    <w:t>Diversification in Russia. Potential for Regional Difference: Report</w:t>
                  </w:r>
                  <w:r w:rsidRPr="005B670C">
                    <w:rPr>
                      <w:rFonts w:ascii="Times New Roman" w:hAnsi="Times New Roman" w:cs="Times New Roman"/>
                      <w:sz w:val="20"/>
                      <w:szCs w:val="20"/>
                      <w:lang w:val="en-US"/>
                    </w:rPr>
                    <w:t>, 2016. Available at: https://www.ebrd.com/downloads/research/economics/publications/specials/ diversifying-russia-russian.pdf</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i/>
                      <w:sz w:val="20"/>
                      <w:szCs w:val="20"/>
                      <w:lang w:val="en-US"/>
                    </w:rPr>
                    <w:t>Preobrazovanie</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nashego</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mira</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Povestka</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dnya</w:t>
                  </w:r>
                  <w:proofErr w:type="spellEnd"/>
                  <w:r w:rsidRPr="005B670C">
                    <w:rPr>
                      <w:rFonts w:ascii="Times New Roman" w:hAnsi="Times New Roman" w:cs="Times New Roman"/>
                      <w:i/>
                      <w:sz w:val="20"/>
                      <w:szCs w:val="20"/>
                      <w:lang w:val="en-US"/>
                    </w:rPr>
                    <w:t xml:space="preserve"> v </w:t>
                  </w:r>
                  <w:proofErr w:type="spellStart"/>
                  <w:r w:rsidRPr="005B670C">
                    <w:rPr>
                      <w:rFonts w:ascii="Times New Roman" w:hAnsi="Times New Roman" w:cs="Times New Roman"/>
                      <w:i/>
                      <w:sz w:val="20"/>
                      <w:szCs w:val="20"/>
                      <w:lang w:val="en-US"/>
                    </w:rPr>
                    <w:t>oblasti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ustoychivogo</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razvitiya</w:t>
                  </w:r>
                  <w:proofErr w:type="spellEnd"/>
                  <w:r w:rsidRPr="005B670C">
                    <w:rPr>
                      <w:rFonts w:ascii="Times New Roman" w:hAnsi="Times New Roman" w:cs="Times New Roman"/>
                      <w:i/>
                      <w:sz w:val="20"/>
                      <w:szCs w:val="20"/>
                      <w:lang w:val="en-US"/>
                    </w:rPr>
                    <w:t xml:space="preserve"> </w:t>
                  </w:r>
                  <w:proofErr w:type="spellStart"/>
                  <w:proofErr w:type="gramStart"/>
                  <w:r w:rsidRPr="005B670C">
                    <w:rPr>
                      <w:rFonts w:ascii="Times New Roman" w:hAnsi="Times New Roman" w:cs="Times New Roman"/>
                      <w:i/>
                      <w:sz w:val="20"/>
                      <w:szCs w:val="20"/>
                      <w:lang w:val="en-US"/>
                    </w:rPr>
                    <w:t>na</w:t>
                  </w:r>
                  <w:proofErr w:type="spellEnd"/>
                  <w:proofErr w:type="gramEnd"/>
                  <w:r w:rsidRPr="005B670C">
                    <w:rPr>
                      <w:rFonts w:ascii="Times New Roman" w:hAnsi="Times New Roman" w:cs="Times New Roman"/>
                      <w:i/>
                      <w:sz w:val="20"/>
                      <w:szCs w:val="20"/>
                      <w:lang w:val="en-US"/>
                    </w:rPr>
                    <w:t xml:space="preserve"> period do 2030 </w:t>
                  </w:r>
                  <w:proofErr w:type="spellStart"/>
                  <w:r w:rsidRPr="005B670C">
                    <w:rPr>
                      <w:rFonts w:ascii="Times New Roman" w:hAnsi="Times New Roman" w:cs="Times New Roman"/>
                      <w:i/>
                      <w:sz w:val="20"/>
                      <w:szCs w:val="20"/>
                      <w:lang w:val="en-US"/>
                    </w:rPr>
                    <w:t>goda</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Rezolyutsiya</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General'noy</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Assamblei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OON</w:t>
                  </w:r>
                  <w:proofErr w:type="spellEnd"/>
                  <w:r w:rsidRPr="005B670C">
                    <w:rPr>
                      <w:rFonts w:ascii="Times New Roman" w:hAnsi="Times New Roman" w:cs="Times New Roman"/>
                      <w:i/>
                      <w:sz w:val="20"/>
                      <w:szCs w:val="20"/>
                      <w:lang w:val="en-US"/>
                    </w:rPr>
                    <w:t xml:space="preserve">, 25 </w:t>
                  </w:r>
                  <w:proofErr w:type="spellStart"/>
                  <w:r w:rsidRPr="005B670C">
                    <w:rPr>
                      <w:rFonts w:ascii="Times New Roman" w:hAnsi="Times New Roman" w:cs="Times New Roman"/>
                      <w:i/>
                      <w:sz w:val="20"/>
                      <w:szCs w:val="20"/>
                      <w:lang w:val="en-US"/>
                    </w:rPr>
                    <w:t>sentyabrya</w:t>
                  </w:r>
                  <w:proofErr w:type="spellEnd"/>
                  <w:r w:rsidRPr="005B670C">
                    <w:rPr>
                      <w:rFonts w:ascii="Times New Roman" w:hAnsi="Times New Roman" w:cs="Times New Roman"/>
                      <w:i/>
                      <w:sz w:val="20"/>
                      <w:szCs w:val="20"/>
                      <w:lang w:val="en-US"/>
                    </w:rPr>
                    <w:t xml:space="preserve"> 2015 </w:t>
                  </w:r>
                  <w:proofErr w:type="spellStart"/>
                  <w:r w:rsidRPr="005B670C">
                    <w:rPr>
                      <w:rFonts w:ascii="Times New Roman" w:hAnsi="Times New Roman" w:cs="Times New Roman"/>
                      <w:i/>
                      <w:sz w:val="20"/>
                      <w:szCs w:val="20"/>
                      <w:lang w:val="en-US"/>
                    </w:rPr>
                    <w:t>goda</w:t>
                  </w:r>
                  <w:proofErr w:type="spellEnd"/>
                  <w:r w:rsidRPr="005B670C">
                    <w:rPr>
                      <w:rFonts w:ascii="Times New Roman" w:hAnsi="Times New Roman" w:cs="Times New Roman"/>
                      <w:sz w:val="20"/>
                      <w:szCs w:val="20"/>
                      <w:lang w:val="en-US"/>
                    </w:rPr>
                    <w:t xml:space="preserve"> [Transforming Our World: The 2030 Agenda for Sustainable Development: UN General Assembly Resolution 25 September 2015]. Available at: https://www.un.org/ga/search/view_doc.asp?symbol=A/RES/70/1&amp;Lang=R (accessed: 22.06.2021)</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i/>
                      <w:sz w:val="20"/>
                      <w:szCs w:val="20"/>
                      <w:lang w:val="en-US"/>
                    </w:rPr>
                    <w:t>Nacional'nyj</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nabor</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pokazatelej</w:t>
                  </w:r>
                  <w:proofErr w:type="spellEnd"/>
                  <w:r w:rsidRPr="005B670C">
                    <w:rPr>
                      <w:rFonts w:ascii="Times New Roman" w:hAnsi="Times New Roman" w:cs="Times New Roman"/>
                      <w:i/>
                      <w:sz w:val="20"/>
                      <w:szCs w:val="20"/>
                      <w:lang w:val="en-US"/>
                    </w:rPr>
                    <w:t xml:space="preserve"> CUR</w:t>
                  </w:r>
                  <w:r w:rsidRPr="005B670C">
                    <w:rPr>
                      <w:rFonts w:ascii="Times New Roman" w:hAnsi="Times New Roman" w:cs="Times New Roman"/>
                      <w:sz w:val="20"/>
                      <w:szCs w:val="20"/>
                      <w:lang w:val="en-US"/>
                    </w:rPr>
                    <w:t xml:space="preserve"> [National SDG Indicator Set]. Available at: https://rosstat.gov.ru/sdg/national</w:t>
                  </w:r>
                </w:p>
                <w:p w:rsidR="00F332D6" w:rsidRPr="005B670C" w:rsidRDefault="00F332D6" w:rsidP="005B670C">
                  <w:pPr>
                    <w:pStyle w:val="afff8"/>
                    <w:numPr>
                      <w:ilvl w:val="0"/>
                      <w:numId w:val="23"/>
                    </w:numPr>
                    <w:tabs>
                      <w:tab w:val="left" w:pos="426"/>
                    </w:tabs>
                    <w:spacing w:after="0" w:line="240" w:lineRule="auto"/>
                    <w:rPr>
                      <w:rFonts w:ascii="Times New Roman" w:hAnsi="Times New Roman"/>
                      <w:sz w:val="20"/>
                      <w:szCs w:val="20"/>
                      <w:lang w:val="en-US"/>
                    </w:rPr>
                  </w:pPr>
                  <w:proofErr w:type="spellStart"/>
                  <w:r w:rsidRPr="00E053D3">
                    <w:rPr>
                      <w:rFonts w:ascii="Times New Roman" w:hAnsi="Times New Roman"/>
                      <w:i/>
                      <w:sz w:val="20"/>
                      <w:szCs w:val="20"/>
                      <w:lang w:val="de-DE"/>
                    </w:rPr>
                    <w:t>Nadezhnost</w:t>
                  </w:r>
                  <w:proofErr w:type="spellEnd"/>
                  <w:r w:rsidRPr="00E053D3">
                    <w:rPr>
                      <w:rFonts w:ascii="Times New Roman" w:hAnsi="Times New Roman"/>
                      <w:i/>
                      <w:sz w:val="20"/>
                      <w:szCs w:val="20"/>
                      <w:lang w:val="de-DE"/>
                    </w:rPr>
                    <w:t xml:space="preserve">' i </w:t>
                  </w:r>
                  <w:proofErr w:type="spellStart"/>
                  <w:r w:rsidRPr="00E053D3">
                    <w:rPr>
                      <w:rFonts w:ascii="Times New Roman" w:hAnsi="Times New Roman"/>
                      <w:i/>
                      <w:sz w:val="20"/>
                      <w:szCs w:val="20"/>
                      <w:lang w:val="de-DE"/>
                    </w:rPr>
                    <w:t>effektivnost</w:t>
                  </w:r>
                  <w:proofErr w:type="spellEnd"/>
                  <w:r w:rsidRPr="00E053D3">
                    <w:rPr>
                      <w:rFonts w:ascii="Times New Roman" w:hAnsi="Times New Roman"/>
                      <w:i/>
                      <w:sz w:val="20"/>
                      <w:szCs w:val="20"/>
                      <w:lang w:val="de-DE"/>
                    </w:rPr>
                    <w:t xml:space="preserve">' v </w:t>
                  </w:r>
                  <w:proofErr w:type="spellStart"/>
                  <w:r w:rsidRPr="00E053D3">
                    <w:rPr>
                      <w:rFonts w:ascii="Times New Roman" w:hAnsi="Times New Roman"/>
                      <w:i/>
                      <w:sz w:val="20"/>
                      <w:szCs w:val="20"/>
                      <w:lang w:val="de-DE"/>
                    </w:rPr>
                    <w:t>tekhnike</w:t>
                  </w:r>
                  <w:proofErr w:type="spellEnd"/>
                  <w:r w:rsidRPr="00E053D3">
                    <w:rPr>
                      <w:rFonts w:ascii="Times New Roman" w:hAnsi="Times New Roman"/>
                      <w:i/>
                      <w:sz w:val="20"/>
                      <w:szCs w:val="20"/>
                      <w:lang w:val="de-DE"/>
                    </w:rPr>
                    <w:t xml:space="preserve">. </w:t>
                  </w:r>
                  <w:proofErr w:type="spellStart"/>
                  <w:r w:rsidRPr="005B670C">
                    <w:rPr>
                      <w:rFonts w:ascii="Times New Roman" w:hAnsi="Times New Roman"/>
                      <w:i/>
                      <w:sz w:val="20"/>
                      <w:szCs w:val="20"/>
                      <w:lang w:val="en-US"/>
                    </w:rPr>
                    <w:t>Kn.3</w:t>
                  </w:r>
                  <w:proofErr w:type="spellEnd"/>
                  <w:r w:rsidRPr="005B670C">
                    <w:rPr>
                      <w:rFonts w:ascii="Times New Roman" w:hAnsi="Times New Roman"/>
                      <w:i/>
                      <w:sz w:val="20"/>
                      <w:szCs w:val="20"/>
                      <w:lang w:val="en-US"/>
                    </w:rPr>
                    <w:t>:</w:t>
                  </w:r>
                  <w:r w:rsidRPr="005B670C">
                    <w:rPr>
                      <w:rFonts w:ascii="Times New Roman" w:hAnsi="Times New Roman"/>
                      <w:sz w:val="20"/>
                      <w:szCs w:val="20"/>
                      <w:lang w:val="en-US"/>
                    </w:rPr>
                    <w:t xml:space="preserve"> </w:t>
                  </w:r>
                  <w:proofErr w:type="spellStart"/>
                  <w:r w:rsidRPr="005B670C">
                    <w:rPr>
                      <w:rFonts w:ascii="Times New Roman" w:hAnsi="Times New Roman"/>
                      <w:i/>
                      <w:sz w:val="20"/>
                      <w:szCs w:val="20"/>
                      <w:lang w:val="en-US"/>
                    </w:rPr>
                    <w:t>Effektivnost</w:t>
                  </w:r>
                  <w:proofErr w:type="spellEnd"/>
                  <w:r w:rsidRPr="005B670C">
                    <w:rPr>
                      <w:rFonts w:ascii="Times New Roman" w:hAnsi="Times New Roman"/>
                      <w:i/>
                      <w:sz w:val="20"/>
                      <w:szCs w:val="20"/>
                      <w:lang w:val="en-US"/>
                    </w:rPr>
                    <w:t xml:space="preserve">' </w:t>
                  </w:r>
                  <w:proofErr w:type="spellStart"/>
                  <w:r w:rsidRPr="005B670C">
                    <w:rPr>
                      <w:rFonts w:ascii="Times New Roman" w:hAnsi="Times New Roman"/>
                      <w:i/>
                      <w:sz w:val="20"/>
                      <w:szCs w:val="20"/>
                      <w:lang w:val="en-US"/>
                    </w:rPr>
                    <w:t>tekhnicheskih</w:t>
                  </w:r>
                  <w:proofErr w:type="spellEnd"/>
                  <w:r w:rsidRPr="005B670C">
                    <w:rPr>
                      <w:rFonts w:ascii="Times New Roman" w:hAnsi="Times New Roman"/>
                      <w:i/>
                      <w:sz w:val="20"/>
                      <w:szCs w:val="20"/>
                      <w:lang w:val="en-US"/>
                    </w:rPr>
                    <w:t xml:space="preserve"> </w:t>
                  </w:r>
                  <w:proofErr w:type="spellStart"/>
                  <w:r w:rsidRPr="005B670C">
                    <w:rPr>
                      <w:rFonts w:ascii="Times New Roman" w:hAnsi="Times New Roman"/>
                      <w:i/>
                      <w:sz w:val="20"/>
                      <w:szCs w:val="20"/>
                      <w:lang w:val="en-US"/>
                    </w:rPr>
                    <w:t>sistem</w:t>
                  </w:r>
                  <w:proofErr w:type="spellEnd"/>
                  <w:r w:rsidRPr="005B670C">
                    <w:rPr>
                      <w:rFonts w:ascii="Times New Roman" w:hAnsi="Times New Roman"/>
                      <w:i/>
                      <w:sz w:val="20"/>
                      <w:szCs w:val="20"/>
                      <w:lang w:val="en-US"/>
                    </w:rPr>
                    <w:t xml:space="preserve"> </w:t>
                  </w:r>
                  <w:r w:rsidRPr="005B670C">
                    <w:rPr>
                      <w:rFonts w:ascii="Times New Roman" w:hAnsi="Times New Roman"/>
                      <w:sz w:val="20"/>
                      <w:szCs w:val="20"/>
                      <w:lang w:val="en-US"/>
                    </w:rPr>
                    <w:t>[Reliability and efficiency in engineering, Vol. 1: The effectiveness of technical systems]. Moscow, 1988. 328 p.</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sz w:val="20"/>
                      <w:szCs w:val="20"/>
                      <w:lang w:val="en-US"/>
                    </w:rPr>
                    <w:t>Gizatullin</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sz w:val="20"/>
                      <w:szCs w:val="20"/>
                      <w:lang w:val="en-US"/>
                    </w:rPr>
                    <w:t>Kh.N</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sz w:val="20"/>
                      <w:szCs w:val="20"/>
                      <w:lang w:val="en-US"/>
                    </w:rPr>
                    <w:t>Troitsky</w:t>
                  </w:r>
                  <w:proofErr w:type="spellEnd"/>
                  <w:r w:rsidRPr="005B670C">
                    <w:rPr>
                      <w:rFonts w:ascii="Times New Roman" w:hAnsi="Times New Roman" w:cs="Times New Roman"/>
                      <w:sz w:val="20"/>
                      <w:szCs w:val="20"/>
                      <w:lang w:val="en-US"/>
                    </w:rPr>
                    <w:t xml:space="preserve"> V.A. [The concept of sustainable development: a new socio-economic par</w:t>
                  </w:r>
                  <w:r w:rsidRPr="005B670C">
                    <w:rPr>
                      <w:rFonts w:ascii="Times New Roman" w:hAnsi="Times New Roman" w:cs="Times New Roman"/>
                      <w:sz w:val="20"/>
                      <w:szCs w:val="20"/>
                      <w:lang w:val="en-US"/>
                    </w:rPr>
                    <w:t>a</w:t>
                  </w:r>
                  <w:r w:rsidRPr="005B670C">
                    <w:rPr>
                      <w:rFonts w:ascii="Times New Roman" w:hAnsi="Times New Roman" w:cs="Times New Roman"/>
                      <w:sz w:val="20"/>
                      <w:szCs w:val="20"/>
                      <w:lang w:val="en-US"/>
                    </w:rPr>
                    <w:t xml:space="preserve">digm]. </w:t>
                  </w:r>
                  <w:proofErr w:type="spellStart"/>
                  <w:r w:rsidRPr="005B670C">
                    <w:rPr>
                      <w:rFonts w:ascii="Times New Roman" w:hAnsi="Times New Roman" w:cs="Times New Roman"/>
                      <w:i/>
                      <w:sz w:val="20"/>
                      <w:szCs w:val="20"/>
                      <w:lang w:val="en-US"/>
                    </w:rPr>
                    <w:t>Obshchestvennye</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nauki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sovremennost</w:t>
                  </w:r>
                  <w:proofErr w:type="spellEnd"/>
                  <w:r w:rsidRPr="005B670C">
                    <w:rPr>
                      <w:rFonts w:ascii="Times New Roman" w:hAnsi="Times New Roman" w:cs="Times New Roman"/>
                      <w:i/>
                      <w:sz w:val="20"/>
                      <w:szCs w:val="20"/>
                      <w:lang w:val="en-US"/>
                    </w:rPr>
                    <w:t>'</w:t>
                  </w:r>
                  <w:r w:rsidRPr="005B670C">
                    <w:rPr>
                      <w:rFonts w:ascii="Times New Roman" w:hAnsi="Times New Roman" w:cs="Times New Roman"/>
                      <w:sz w:val="20"/>
                      <w:szCs w:val="20"/>
                      <w:lang w:val="en-US"/>
                    </w:rPr>
                    <w:t xml:space="preserve"> [Social sciences and modernity], 1998, pp. 124–130. (</w:t>
                  </w:r>
                  <w:proofErr w:type="gramStart"/>
                  <w:r w:rsidRPr="005B670C">
                    <w:rPr>
                      <w:rFonts w:ascii="Times New Roman" w:hAnsi="Times New Roman" w:cs="Times New Roman"/>
                      <w:sz w:val="20"/>
                      <w:szCs w:val="20"/>
                      <w:lang w:val="en-US"/>
                    </w:rPr>
                    <w:t>in</w:t>
                  </w:r>
                  <w:proofErr w:type="gramEnd"/>
                  <w:r w:rsidRPr="005B670C">
                    <w:rPr>
                      <w:rFonts w:ascii="Times New Roman" w:hAnsi="Times New Roman" w:cs="Times New Roman"/>
                      <w:sz w:val="20"/>
                      <w:szCs w:val="20"/>
                      <w:lang w:val="en-US"/>
                    </w:rPr>
                    <w:t xml:space="preserve"> Russ.)</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lang w:val="fr-FR"/>
                    </w:rPr>
                    <w:t xml:space="preserve">Klimanov V.V. et al. </w:t>
                  </w:r>
                  <w:r w:rsidRPr="005B670C">
                    <w:rPr>
                      <w:rFonts w:ascii="Times New Roman" w:hAnsi="Times New Roman" w:cs="Times New Roman"/>
                      <w:sz w:val="20"/>
                      <w:szCs w:val="20"/>
                      <w:lang w:val="en-US"/>
                    </w:rPr>
                    <w:t xml:space="preserve">[Regional resilience: theoretical foundations of the question] </w:t>
                  </w:r>
                  <w:proofErr w:type="spellStart"/>
                  <w:r w:rsidRPr="005B670C">
                    <w:rPr>
                      <w:rFonts w:ascii="Times New Roman" w:hAnsi="Times New Roman" w:cs="Times New Roman"/>
                      <w:i/>
                      <w:sz w:val="20"/>
                      <w:szCs w:val="20"/>
                      <w:lang w:val="en-US"/>
                    </w:rPr>
                    <w:t>Ekonomicheskaya</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politika</w:t>
                  </w:r>
                  <w:proofErr w:type="spellEnd"/>
                  <w:r w:rsidRPr="005B670C">
                    <w:rPr>
                      <w:rFonts w:ascii="Times New Roman" w:hAnsi="Times New Roman" w:cs="Times New Roman"/>
                      <w:sz w:val="20"/>
                      <w:szCs w:val="20"/>
                      <w:lang w:val="en-US"/>
                    </w:rPr>
                    <w:t xml:space="preserve"> [Economic policy], 2018, vol. 13 (6), pp. 164–187. (</w:t>
                  </w:r>
                  <w:proofErr w:type="gramStart"/>
                  <w:r w:rsidRPr="005B670C">
                    <w:rPr>
                      <w:rFonts w:ascii="Times New Roman" w:hAnsi="Times New Roman" w:cs="Times New Roman"/>
                      <w:sz w:val="20"/>
                      <w:szCs w:val="20"/>
                      <w:lang w:val="en-US"/>
                    </w:rPr>
                    <w:t>in</w:t>
                  </w:r>
                  <w:proofErr w:type="gramEnd"/>
                  <w:r w:rsidRPr="005B670C">
                    <w:rPr>
                      <w:rFonts w:ascii="Times New Roman" w:hAnsi="Times New Roman" w:cs="Times New Roman"/>
                      <w:sz w:val="20"/>
                      <w:szCs w:val="20"/>
                      <w:lang w:val="en-US"/>
                    </w:rPr>
                    <w:t xml:space="preserve"> Russ.) DOI: 10.18288 / 1994-5124-2018-6-164-187. </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lang w:val="en-US"/>
                    </w:rPr>
                    <w:t>Foster K.A. A Case Study Approach to Understanding Regional Resilience. Working Paper 2007–08. I</w:t>
                  </w:r>
                  <w:r w:rsidRPr="005B670C">
                    <w:rPr>
                      <w:rFonts w:ascii="Times New Roman" w:hAnsi="Times New Roman" w:cs="Times New Roman"/>
                      <w:sz w:val="20"/>
                      <w:szCs w:val="20"/>
                      <w:lang w:val="en-US"/>
                    </w:rPr>
                    <w:t>n</w:t>
                  </w:r>
                  <w:r w:rsidRPr="005B670C">
                    <w:rPr>
                      <w:rFonts w:ascii="Times New Roman" w:hAnsi="Times New Roman" w:cs="Times New Roman"/>
                      <w:sz w:val="20"/>
                      <w:szCs w:val="20"/>
                      <w:lang w:val="en-US"/>
                    </w:rPr>
                    <w:t>stitute of Urban and Regional Development, University of California, Berkeley, 2006. Available at: https://www.econstor.eu/obitstream/10419/59413/1/592535347.pdf</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lang w:val="en-US"/>
                    </w:rPr>
                    <w:t xml:space="preserve">Martin R. Regional Economic Resilience, Hysteresis and Recessionary Shocks. </w:t>
                  </w:r>
                  <w:r w:rsidRPr="005B670C">
                    <w:rPr>
                      <w:rFonts w:ascii="Times New Roman" w:hAnsi="Times New Roman" w:cs="Times New Roman"/>
                      <w:i/>
                      <w:sz w:val="20"/>
                      <w:szCs w:val="20"/>
                      <w:lang w:val="en-US"/>
                    </w:rPr>
                    <w:t>Journal of Economic Geography</w:t>
                  </w:r>
                  <w:r w:rsidRPr="005B670C">
                    <w:rPr>
                      <w:rFonts w:ascii="Times New Roman" w:hAnsi="Times New Roman" w:cs="Times New Roman"/>
                      <w:sz w:val="20"/>
                      <w:szCs w:val="20"/>
                      <w:lang w:val="en-US"/>
                    </w:rPr>
                    <w:t xml:space="preserve">, 2012, vol. 12(1), pp. 1–32. </w:t>
                  </w:r>
                  <w:proofErr w:type="spellStart"/>
                  <w:r w:rsidRPr="005B670C">
                    <w:rPr>
                      <w:rFonts w:ascii="Times New Roman" w:hAnsi="Times New Roman" w:cs="Times New Roman"/>
                      <w:sz w:val="20"/>
                      <w:szCs w:val="20"/>
                      <w:lang w:val="en-US"/>
                    </w:rPr>
                    <w:t>DOI</w:t>
                  </w:r>
                  <w:proofErr w:type="spellEnd"/>
                  <w:r w:rsidRPr="005B670C">
                    <w:rPr>
                      <w:rFonts w:ascii="Times New Roman" w:hAnsi="Times New Roman" w:cs="Times New Roman"/>
                      <w:sz w:val="20"/>
                      <w:szCs w:val="20"/>
                      <w:lang w:val="en-US"/>
                    </w:rPr>
                    <w:t>: 10.1093/</w:t>
                  </w:r>
                  <w:proofErr w:type="spellStart"/>
                  <w:r w:rsidRPr="005B670C">
                    <w:rPr>
                      <w:rFonts w:ascii="Times New Roman" w:hAnsi="Times New Roman" w:cs="Times New Roman"/>
                      <w:sz w:val="20"/>
                      <w:szCs w:val="20"/>
                      <w:lang w:val="en-US"/>
                    </w:rPr>
                    <w:t>jeg</w:t>
                  </w:r>
                  <w:proofErr w:type="spellEnd"/>
                  <w:r w:rsidRPr="005B670C">
                    <w:rPr>
                      <w:rFonts w:ascii="Times New Roman" w:hAnsi="Times New Roman" w:cs="Times New Roman"/>
                      <w:sz w:val="20"/>
                      <w:szCs w:val="20"/>
                      <w:lang w:val="en-US"/>
                    </w:rPr>
                    <w:t>/</w:t>
                  </w:r>
                  <w:proofErr w:type="spellStart"/>
                  <w:r w:rsidRPr="005B670C">
                    <w:rPr>
                      <w:rFonts w:ascii="Times New Roman" w:hAnsi="Times New Roman" w:cs="Times New Roman"/>
                      <w:sz w:val="20"/>
                      <w:szCs w:val="20"/>
                      <w:lang w:val="en-US"/>
                    </w:rPr>
                    <w:t>lbr019</w:t>
                  </w:r>
                  <w:proofErr w:type="spellEnd"/>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sz w:val="20"/>
                      <w:szCs w:val="20"/>
                      <w:lang w:val="en-US"/>
                    </w:rPr>
                    <w:t>Modica</w:t>
                  </w:r>
                  <w:proofErr w:type="spellEnd"/>
                  <w:r w:rsidRPr="005B670C">
                    <w:rPr>
                      <w:rFonts w:ascii="Times New Roman" w:hAnsi="Times New Roman" w:cs="Times New Roman"/>
                      <w:sz w:val="20"/>
                      <w:szCs w:val="20"/>
                      <w:lang w:val="en-US"/>
                    </w:rPr>
                    <w:t xml:space="preserve"> M., </w:t>
                  </w:r>
                  <w:proofErr w:type="spellStart"/>
                  <w:r w:rsidRPr="005B670C">
                    <w:rPr>
                      <w:rFonts w:ascii="Times New Roman" w:hAnsi="Times New Roman" w:cs="Times New Roman"/>
                      <w:sz w:val="20"/>
                      <w:szCs w:val="20"/>
                      <w:lang w:val="en-US"/>
                    </w:rPr>
                    <w:t>Reggiani</w:t>
                  </w:r>
                  <w:proofErr w:type="spellEnd"/>
                  <w:r w:rsidRPr="005B670C">
                    <w:rPr>
                      <w:rFonts w:ascii="Times New Roman" w:hAnsi="Times New Roman" w:cs="Times New Roman"/>
                      <w:sz w:val="20"/>
                      <w:szCs w:val="20"/>
                      <w:lang w:val="en-US"/>
                    </w:rPr>
                    <w:t xml:space="preserve"> A. Spatial Economic Resilience: Overview and Perspectives. </w:t>
                  </w:r>
                  <w:r w:rsidRPr="005B670C">
                    <w:rPr>
                      <w:rFonts w:ascii="Times New Roman" w:hAnsi="Times New Roman" w:cs="Times New Roman"/>
                      <w:i/>
                      <w:sz w:val="20"/>
                      <w:szCs w:val="20"/>
                      <w:lang w:val="en-US"/>
                    </w:rPr>
                    <w:t>Networks and Sp</w:t>
                  </w:r>
                  <w:r w:rsidRPr="005B670C">
                    <w:rPr>
                      <w:rFonts w:ascii="Times New Roman" w:hAnsi="Times New Roman" w:cs="Times New Roman"/>
                      <w:i/>
                      <w:sz w:val="20"/>
                      <w:szCs w:val="20"/>
                      <w:lang w:val="en-US"/>
                    </w:rPr>
                    <w:t>a</w:t>
                  </w:r>
                  <w:r w:rsidRPr="005B670C">
                    <w:rPr>
                      <w:rFonts w:ascii="Times New Roman" w:hAnsi="Times New Roman" w:cs="Times New Roman"/>
                      <w:i/>
                      <w:sz w:val="20"/>
                      <w:szCs w:val="20"/>
                      <w:lang w:val="en-US"/>
                    </w:rPr>
                    <w:t>tial Economics</w:t>
                  </w:r>
                  <w:r w:rsidRPr="005B670C">
                    <w:rPr>
                      <w:rFonts w:ascii="Times New Roman" w:hAnsi="Times New Roman" w:cs="Times New Roman"/>
                      <w:sz w:val="20"/>
                      <w:szCs w:val="20"/>
                      <w:lang w:val="en-US"/>
                    </w:rPr>
                    <w:t>, 2015, vol. 15, pp. 211–233. DOI: 10.1007/s11067-014-9261-7.</w:t>
                  </w:r>
                </w:p>
                <w:p w:rsidR="00F332D6" w:rsidRPr="005B670C" w:rsidRDefault="00F332D6" w:rsidP="005B670C">
                  <w:pPr>
                    <w:pStyle w:val="af6"/>
                    <w:numPr>
                      <w:ilvl w:val="0"/>
                      <w:numId w:val="23"/>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lang w:val="en-US"/>
                    </w:rPr>
                    <w:t xml:space="preserve">Hill E.W., </w:t>
                  </w:r>
                  <w:proofErr w:type="spellStart"/>
                  <w:r w:rsidRPr="005B670C">
                    <w:rPr>
                      <w:rFonts w:ascii="Times New Roman" w:hAnsi="Times New Roman" w:cs="Times New Roman"/>
                      <w:sz w:val="20"/>
                      <w:szCs w:val="20"/>
                      <w:lang w:val="en-US"/>
                    </w:rPr>
                    <w:t>Wial</w:t>
                  </w:r>
                  <w:proofErr w:type="spellEnd"/>
                  <w:r w:rsidRPr="005B670C">
                    <w:rPr>
                      <w:rFonts w:ascii="Times New Roman" w:hAnsi="Times New Roman" w:cs="Times New Roman"/>
                      <w:sz w:val="20"/>
                      <w:szCs w:val="20"/>
                      <w:lang w:val="en-US"/>
                    </w:rPr>
                    <w:t xml:space="preserve"> H., Wolman H. </w:t>
                  </w:r>
                  <w:r w:rsidRPr="005B670C">
                    <w:rPr>
                      <w:rFonts w:ascii="Times New Roman" w:hAnsi="Times New Roman" w:cs="Times New Roman"/>
                      <w:i/>
                      <w:sz w:val="20"/>
                      <w:szCs w:val="20"/>
                      <w:lang w:val="en-US"/>
                    </w:rPr>
                    <w:t>Exploring Regional Economic Resilience</w:t>
                  </w:r>
                  <w:r w:rsidRPr="005B670C">
                    <w:rPr>
                      <w:rFonts w:ascii="Times New Roman" w:hAnsi="Times New Roman" w:cs="Times New Roman"/>
                      <w:sz w:val="20"/>
                      <w:szCs w:val="20"/>
                      <w:lang w:val="en-US"/>
                    </w:rPr>
                    <w:t>. Institute of Urban and R</w:t>
                  </w:r>
                  <w:r w:rsidRPr="005B670C">
                    <w:rPr>
                      <w:rFonts w:ascii="Times New Roman" w:hAnsi="Times New Roman" w:cs="Times New Roman"/>
                      <w:sz w:val="20"/>
                      <w:szCs w:val="20"/>
                      <w:lang w:val="en-US"/>
                    </w:rPr>
                    <w:t>e</w:t>
                  </w:r>
                  <w:r w:rsidRPr="005B670C">
                    <w:rPr>
                      <w:rFonts w:ascii="Times New Roman" w:hAnsi="Times New Roman" w:cs="Times New Roman"/>
                      <w:sz w:val="20"/>
                      <w:szCs w:val="20"/>
                      <w:lang w:val="en-US"/>
                    </w:rPr>
                    <w:t>gional Development, University of California. Berkeley. Working Paper 2008-04. 2008.</w:t>
                  </w:r>
                </w:p>
                <w:p w:rsidR="00F332D6" w:rsidRDefault="00F332D6"/>
              </w:txbxContent>
            </v:textbox>
          </v:shape>
        </w:pict>
      </w:r>
    </w:p>
    <w:p w:rsidR="005B670C" w:rsidRDefault="005B670C">
      <w:pPr>
        <w:autoSpaceDE/>
        <w:autoSpaceDN/>
        <w:jc w:val="left"/>
        <w:rPr>
          <w:sz w:val="18"/>
          <w:szCs w:val="28"/>
          <w:lang w:val="en-US"/>
        </w:rPr>
      </w:pPr>
      <w:r>
        <w:rPr>
          <w:szCs w:val="28"/>
          <w:lang w:val="en-US"/>
        </w:rPr>
        <w:br w:type="page"/>
      </w:r>
    </w:p>
    <w:p w:rsidR="002B7485" w:rsidRPr="002B7485" w:rsidRDefault="005201E1" w:rsidP="002B7485">
      <w:pPr>
        <w:rPr>
          <w:sz w:val="28"/>
          <w:szCs w:val="28"/>
        </w:rPr>
      </w:pPr>
      <w:r>
        <w:rPr>
          <w:noProof/>
          <w:sz w:val="28"/>
          <w:szCs w:val="28"/>
        </w:rPr>
        <w:lastRenderedPageBreak/>
        <w:pict>
          <v:shape id="_x0000_s1420" type="#_x0000_t202" style="position:absolute;left:0;text-align:left;margin-left:-2.35pt;margin-top:-2.25pt;width:467.5pt;height:573.5pt;z-index:251662336" stroked="f">
            <v:textbox>
              <w:txbxContent>
                <w:p w:rsidR="00F332D6" w:rsidRPr="005B670C" w:rsidRDefault="00F332D6" w:rsidP="005B670C">
                  <w:pPr>
                    <w:pStyle w:val="af6"/>
                    <w:numPr>
                      <w:ilvl w:val="0"/>
                      <w:numId w:val="22"/>
                    </w:numPr>
                    <w:tabs>
                      <w:tab w:val="left" w:pos="426"/>
                    </w:tabs>
                    <w:autoSpaceDE/>
                    <w:autoSpaceDN/>
                    <w:rPr>
                      <w:rFonts w:ascii="Times New Roman" w:hAnsi="Times New Roman" w:cs="Times New Roman"/>
                      <w:sz w:val="20"/>
                      <w:szCs w:val="20"/>
                      <w:lang w:val="en-US"/>
                    </w:rPr>
                  </w:pPr>
                  <w:r w:rsidRPr="005B670C">
                    <w:rPr>
                      <w:rFonts w:ascii="Times New Roman" w:hAnsi="Times New Roman" w:cs="Times New Roman"/>
                      <w:sz w:val="20"/>
                      <w:szCs w:val="20"/>
                      <w:lang w:val="en-US"/>
                    </w:rPr>
                    <w:t xml:space="preserve">Hudson R. Resilient Regions in an Uncertain World: Wishful Thinking or a Practical Reality? </w:t>
                  </w:r>
                  <w:r w:rsidRPr="005B670C">
                    <w:rPr>
                      <w:rFonts w:ascii="Times New Roman" w:hAnsi="Times New Roman" w:cs="Times New Roman"/>
                      <w:i/>
                      <w:sz w:val="20"/>
                      <w:szCs w:val="20"/>
                      <w:lang w:val="en-US"/>
                    </w:rPr>
                    <w:t>Ca</w:t>
                  </w:r>
                  <w:r w:rsidRPr="005B670C">
                    <w:rPr>
                      <w:rFonts w:ascii="Times New Roman" w:hAnsi="Times New Roman" w:cs="Times New Roman"/>
                      <w:i/>
                      <w:sz w:val="20"/>
                      <w:szCs w:val="20"/>
                      <w:lang w:val="en-US"/>
                    </w:rPr>
                    <w:t>m</w:t>
                  </w:r>
                  <w:r w:rsidRPr="005B670C">
                    <w:rPr>
                      <w:rFonts w:ascii="Times New Roman" w:hAnsi="Times New Roman" w:cs="Times New Roman"/>
                      <w:i/>
                      <w:sz w:val="20"/>
                      <w:szCs w:val="20"/>
                      <w:lang w:val="en-US"/>
                    </w:rPr>
                    <w:t>bridge Journal of Regions, Economy and Society</w:t>
                  </w:r>
                  <w:r w:rsidRPr="005B670C">
                    <w:rPr>
                      <w:rFonts w:ascii="Times New Roman" w:hAnsi="Times New Roman" w:cs="Times New Roman"/>
                      <w:sz w:val="20"/>
                      <w:szCs w:val="20"/>
                      <w:lang w:val="en-US"/>
                    </w:rPr>
                    <w:t>, 2010, vol. 3, pp. 11–25.</w:t>
                  </w:r>
                </w:p>
                <w:p w:rsidR="00F332D6" w:rsidRPr="005B670C" w:rsidRDefault="00F332D6" w:rsidP="005B670C">
                  <w:pPr>
                    <w:pStyle w:val="af6"/>
                    <w:numPr>
                      <w:ilvl w:val="0"/>
                      <w:numId w:val="22"/>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i/>
                      <w:sz w:val="20"/>
                      <w:szCs w:val="20"/>
                      <w:lang w:val="en-US"/>
                    </w:rPr>
                    <w:t>Nashe</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obshchee</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budushchee</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Doklad</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Vsemirnoy</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komissii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po</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voprosam</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okruzhayushchey</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sredy</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razvitiya</w:t>
                  </w:r>
                  <w:proofErr w:type="spellEnd"/>
                  <w:r w:rsidRPr="005B670C">
                    <w:rPr>
                      <w:rFonts w:ascii="Times New Roman" w:hAnsi="Times New Roman" w:cs="Times New Roman"/>
                      <w:sz w:val="20"/>
                      <w:szCs w:val="20"/>
                      <w:lang w:val="en-US"/>
                    </w:rPr>
                    <w:t xml:space="preserve"> [Our Common Future. Report of the World Commission on Environment and Development].  1987. Available at: https://www.un.org/ru/ga/pdf/brundtland.pdf.</w:t>
                  </w:r>
                </w:p>
                <w:p w:rsidR="00F332D6" w:rsidRPr="005B670C" w:rsidRDefault="00F332D6" w:rsidP="005B670C">
                  <w:pPr>
                    <w:pStyle w:val="af6"/>
                    <w:numPr>
                      <w:ilvl w:val="0"/>
                      <w:numId w:val="22"/>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sz w:val="20"/>
                      <w:szCs w:val="20"/>
                      <w:lang w:val="en-US"/>
                    </w:rPr>
                    <w:t>Malkina</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sz w:val="20"/>
                      <w:szCs w:val="20"/>
                      <w:lang w:val="en-US"/>
                    </w:rPr>
                    <w:t>M.Yu</w:t>
                  </w:r>
                  <w:proofErr w:type="spellEnd"/>
                  <w:r w:rsidRPr="005B670C">
                    <w:rPr>
                      <w:rFonts w:ascii="Times New Roman" w:hAnsi="Times New Roman" w:cs="Times New Roman"/>
                      <w:sz w:val="20"/>
                      <w:szCs w:val="20"/>
                      <w:lang w:val="en-US"/>
                    </w:rPr>
                    <w:t xml:space="preserve">. [Assessment of the sustainability of the development of regional economies on the basis of </w:t>
                  </w:r>
                  <w:proofErr w:type="spellStart"/>
                  <w:r w:rsidRPr="005B670C">
                    <w:rPr>
                      <w:rFonts w:ascii="Times New Roman" w:hAnsi="Times New Roman" w:cs="Times New Roman"/>
                      <w:sz w:val="20"/>
                      <w:szCs w:val="20"/>
                      <w:lang w:val="en-US"/>
                    </w:rPr>
                    <w:t>mahalanobis</w:t>
                  </w:r>
                  <w:proofErr w:type="spellEnd"/>
                  <w:r w:rsidRPr="005B670C">
                    <w:rPr>
                      <w:rFonts w:ascii="Times New Roman" w:hAnsi="Times New Roman" w:cs="Times New Roman"/>
                      <w:sz w:val="20"/>
                      <w:szCs w:val="20"/>
                      <w:lang w:val="en-US"/>
                    </w:rPr>
                    <w:t xml:space="preserve"> distances]. </w:t>
                  </w:r>
                  <w:r w:rsidRPr="005B670C">
                    <w:rPr>
                      <w:rFonts w:ascii="Times New Roman" w:hAnsi="Times New Roman" w:cs="Times New Roman"/>
                      <w:i/>
                      <w:sz w:val="20"/>
                      <w:szCs w:val="20"/>
                      <w:lang w:val="en-US"/>
                    </w:rPr>
                    <w:t xml:space="preserve">Terra </w:t>
                  </w:r>
                  <w:proofErr w:type="spellStart"/>
                  <w:r w:rsidRPr="005B670C">
                    <w:rPr>
                      <w:rFonts w:ascii="Times New Roman" w:hAnsi="Times New Roman" w:cs="Times New Roman"/>
                      <w:i/>
                      <w:sz w:val="20"/>
                      <w:szCs w:val="20"/>
                      <w:lang w:val="en-US"/>
                    </w:rPr>
                    <w:t>Economicus</w:t>
                  </w:r>
                  <w:proofErr w:type="spellEnd"/>
                  <w:r w:rsidRPr="005B670C">
                    <w:rPr>
                      <w:rFonts w:ascii="Times New Roman" w:hAnsi="Times New Roman" w:cs="Times New Roman"/>
                      <w:sz w:val="20"/>
                      <w:szCs w:val="20"/>
                      <w:lang w:val="en-US"/>
                    </w:rPr>
                    <w:t>, 2020, vol. 18 (3), pp. 140–159. (</w:t>
                  </w:r>
                  <w:proofErr w:type="gramStart"/>
                  <w:r w:rsidRPr="005B670C">
                    <w:rPr>
                      <w:rFonts w:ascii="Times New Roman" w:hAnsi="Times New Roman" w:cs="Times New Roman"/>
                      <w:sz w:val="20"/>
                      <w:szCs w:val="20"/>
                      <w:lang w:val="en-US"/>
                    </w:rPr>
                    <w:t>in</w:t>
                  </w:r>
                  <w:proofErr w:type="gramEnd"/>
                  <w:r w:rsidRPr="005B670C">
                    <w:rPr>
                      <w:rFonts w:ascii="Times New Roman" w:hAnsi="Times New Roman" w:cs="Times New Roman"/>
                      <w:sz w:val="20"/>
                      <w:szCs w:val="20"/>
                      <w:lang w:val="en-US"/>
                    </w:rPr>
                    <w:t xml:space="preserve"> Russ.) DOI: 10.18522 / 2073-6606-2020-18-3-140-159. </w:t>
                  </w:r>
                </w:p>
                <w:p w:rsidR="00F332D6" w:rsidRPr="005B670C" w:rsidRDefault="00F332D6" w:rsidP="005B670C">
                  <w:pPr>
                    <w:pStyle w:val="af6"/>
                    <w:numPr>
                      <w:ilvl w:val="0"/>
                      <w:numId w:val="22"/>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i/>
                      <w:sz w:val="20"/>
                      <w:szCs w:val="20"/>
                      <w:lang w:val="en-US"/>
                    </w:rPr>
                    <w:t>Regiony</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Rossii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Social'no-ekonomicheskie</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pokazateli</w:t>
                  </w:r>
                  <w:proofErr w:type="spellEnd"/>
                  <w:r w:rsidRPr="005B670C">
                    <w:rPr>
                      <w:rFonts w:ascii="Times New Roman" w:hAnsi="Times New Roman" w:cs="Times New Roman"/>
                      <w:sz w:val="20"/>
                      <w:szCs w:val="20"/>
                      <w:lang w:val="en-US"/>
                    </w:rPr>
                    <w:t xml:space="preserve"> [Regions of Russia. Socio-economic indicators 2020]. Available at: https://gks.ru/bgd/regl/b20_14p/Main.htm.</w:t>
                  </w:r>
                </w:p>
                <w:p w:rsidR="00F332D6" w:rsidRPr="005B670C" w:rsidRDefault="00F332D6" w:rsidP="005B670C">
                  <w:pPr>
                    <w:pStyle w:val="af6"/>
                    <w:numPr>
                      <w:ilvl w:val="0"/>
                      <w:numId w:val="22"/>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sz w:val="20"/>
                      <w:szCs w:val="20"/>
                      <w:lang w:val="en-US"/>
                    </w:rPr>
                    <w:t>Altunin</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sz w:val="20"/>
                      <w:szCs w:val="20"/>
                      <w:lang w:val="en-US"/>
                    </w:rPr>
                    <w:t>A.E.</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i/>
                      <w:sz w:val="20"/>
                      <w:szCs w:val="20"/>
                      <w:lang w:val="en-US"/>
                    </w:rPr>
                    <w:t>Modeli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algoritmy</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prinyatiya</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reshenij</w:t>
                  </w:r>
                  <w:proofErr w:type="spellEnd"/>
                  <w:r w:rsidRPr="005B670C">
                    <w:rPr>
                      <w:rFonts w:ascii="Times New Roman" w:hAnsi="Times New Roman" w:cs="Times New Roman"/>
                      <w:i/>
                      <w:sz w:val="20"/>
                      <w:szCs w:val="20"/>
                      <w:lang w:val="en-US"/>
                    </w:rPr>
                    <w:t xml:space="preserve"> v </w:t>
                  </w:r>
                  <w:proofErr w:type="spellStart"/>
                  <w:r w:rsidRPr="005B670C">
                    <w:rPr>
                      <w:rFonts w:ascii="Times New Roman" w:hAnsi="Times New Roman" w:cs="Times New Roman"/>
                      <w:i/>
                      <w:sz w:val="20"/>
                      <w:szCs w:val="20"/>
                      <w:lang w:val="en-US"/>
                    </w:rPr>
                    <w:t>nechetkih</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usloviyah</w:t>
                  </w:r>
                  <w:proofErr w:type="spellEnd"/>
                  <w:r w:rsidRPr="005B670C">
                    <w:rPr>
                      <w:rFonts w:ascii="Times New Roman" w:hAnsi="Times New Roman" w:cs="Times New Roman"/>
                      <w:sz w:val="20"/>
                      <w:szCs w:val="20"/>
                      <w:lang w:val="en-US"/>
                    </w:rPr>
                    <w:t xml:space="preserve"> [Models and algorithms of decision-making in fuzzy conditions]. Tyumen', 2000. 352 p.</w:t>
                  </w:r>
                </w:p>
                <w:p w:rsidR="00F332D6" w:rsidRPr="005B670C" w:rsidRDefault="00F332D6" w:rsidP="005B670C">
                  <w:pPr>
                    <w:pStyle w:val="af6"/>
                    <w:numPr>
                      <w:ilvl w:val="0"/>
                      <w:numId w:val="22"/>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sz w:val="20"/>
                      <w:szCs w:val="20"/>
                      <w:lang w:val="en-US"/>
                    </w:rPr>
                    <w:t>Averkin</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sz w:val="20"/>
                      <w:szCs w:val="20"/>
                      <w:lang w:val="en-US"/>
                    </w:rPr>
                    <w:t>A.A.</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i/>
                      <w:iCs/>
                      <w:sz w:val="20"/>
                      <w:szCs w:val="20"/>
                      <w:lang w:val="en-US"/>
                    </w:rPr>
                    <w:t>Myagkie</w:t>
                  </w:r>
                  <w:proofErr w:type="spellEnd"/>
                  <w:r w:rsidRPr="005B670C">
                    <w:rPr>
                      <w:rFonts w:ascii="Times New Roman" w:hAnsi="Times New Roman" w:cs="Times New Roman"/>
                      <w:i/>
                      <w:iCs/>
                      <w:sz w:val="20"/>
                      <w:szCs w:val="20"/>
                      <w:lang w:val="en-US"/>
                    </w:rPr>
                    <w:t xml:space="preserve"> </w:t>
                  </w:r>
                  <w:proofErr w:type="spellStart"/>
                  <w:r w:rsidRPr="005B670C">
                    <w:rPr>
                      <w:rFonts w:ascii="Times New Roman" w:hAnsi="Times New Roman" w:cs="Times New Roman"/>
                      <w:i/>
                      <w:iCs/>
                      <w:sz w:val="20"/>
                      <w:szCs w:val="20"/>
                      <w:lang w:val="en-US"/>
                    </w:rPr>
                    <w:t>vychisleniya</w:t>
                  </w:r>
                  <w:proofErr w:type="spellEnd"/>
                  <w:r w:rsidRPr="005B670C">
                    <w:rPr>
                      <w:rFonts w:ascii="Times New Roman" w:hAnsi="Times New Roman" w:cs="Times New Roman"/>
                      <w:i/>
                      <w:iCs/>
                      <w:sz w:val="20"/>
                      <w:szCs w:val="20"/>
                      <w:lang w:val="en-US"/>
                    </w:rPr>
                    <w:t xml:space="preserve"> </w:t>
                  </w:r>
                  <w:proofErr w:type="spellStart"/>
                  <w:r w:rsidRPr="005B670C">
                    <w:rPr>
                      <w:rFonts w:ascii="Times New Roman" w:hAnsi="Times New Roman" w:cs="Times New Roman"/>
                      <w:i/>
                      <w:iCs/>
                      <w:sz w:val="20"/>
                      <w:szCs w:val="20"/>
                      <w:lang w:val="en-US"/>
                    </w:rPr>
                    <w:t>i</w:t>
                  </w:r>
                  <w:proofErr w:type="spellEnd"/>
                  <w:r w:rsidRPr="005B670C">
                    <w:rPr>
                      <w:rFonts w:ascii="Times New Roman" w:hAnsi="Times New Roman" w:cs="Times New Roman"/>
                      <w:i/>
                      <w:iCs/>
                      <w:sz w:val="20"/>
                      <w:szCs w:val="20"/>
                      <w:lang w:val="en-US"/>
                    </w:rPr>
                    <w:t xml:space="preserve"> </w:t>
                  </w:r>
                  <w:proofErr w:type="spellStart"/>
                  <w:r w:rsidRPr="005B670C">
                    <w:rPr>
                      <w:rFonts w:ascii="Times New Roman" w:hAnsi="Times New Roman" w:cs="Times New Roman"/>
                      <w:i/>
                      <w:iCs/>
                      <w:sz w:val="20"/>
                      <w:szCs w:val="20"/>
                      <w:lang w:val="en-US"/>
                    </w:rPr>
                    <w:t>izmereniya</w:t>
                  </w:r>
                  <w:proofErr w:type="spellEnd"/>
                  <w:r w:rsidRPr="005B670C">
                    <w:rPr>
                      <w:rFonts w:ascii="Times New Roman" w:hAnsi="Times New Roman" w:cs="Times New Roman"/>
                      <w:sz w:val="20"/>
                      <w:szCs w:val="20"/>
                      <w:lang w:val="en-US"/>
                    </w:rPr>
                    <w:t xml:space="preserve"> [Fuzzy calculations and measurements]. Mo</w:t>
                  </w:r>
                  <w:r w:rsidRPr="005B670C">
                    <w:rPr>
                      <w:rFonts w:ascii="Times New Roman" w:hAnsi="Times New Roman" w:cs="Times New Roman"/>
                      <w:sz w:val="20"/>
                      <w:szCs w:val="20"/>
                      <w:lang w:val="en-US"/>
                    </w:rPr>
                    <w:t>s</w:t>
                  </w:r>
                  <w:r w:rsidRPr="005B670C">
                    <w:rPr>
                      <w:rFonts w:ascii="Times New Roman" w:hAnsi="Times New Roman" w:cs="Times New Roman"/>
                      <w:sz w:val="20"/>
                      <w:szCs w:val="20"/>
                      <w:lang w:val="en-US"/>
                    </w:rPr>
                    <w:t>cow, 2017. 414 p.</w:t>
                  </w:r>
                </w:p>
                <w:p w:rsidR="00F332D6" w:rsidRPr="005B670C" w:rsidRDefault="00F332D6" w:rsidP="005B670C">
                  <w:pPr>
                    <w:pStyle w:val="af6"/>
                    <w:numPr>
                      <w:ilvl w:val="0"/>
                      <w:numId w:val="22"/>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sz w:val="20"/>
                      <w:szCs w:val="20"/>
                      <w:lang w:val="en-US"/>
                    </w:rPr>
                    <w:t>Tenev</w:t>
                  </w:r>
                  <w:proofErr w:type="spellEnd"/>
                  <w:r w:rsidRPr="005B670C">
                    <w:rPr>
                      <w:rFonts w:ascii="Times New Roman" w:hAnsi="Times New Roman" w:cs="Times New Roman"/>
                      <w:sz w:val="20"/>
                      <w:szCs w:val="20"/>
                      <w:lang w:val="en-US"/>
                    </w:rPr>
                    <w:t xml:space="preserve"> V.A., </w:t>
                  </w:r>
                  <w:proofErr w:type="spellStart"/>
                  <w:r w:rsidRPr="005B670C">
                    <w:rPr>
                      <w:rFonts w:ascii="Times New Roman" w:hAnsi="Times New Roman" w:cs="Times New Roman"/>
                      <w:sz w:val="20"/>
                      <w:szCs w:val="20"/>
                      <w:lang w:val="en-US"/>
                    </w:rPr>
                    <w:t>Paklin</w:t>
                  </w:r>
                  <w:proofErr w:type="spellEnd"/>
                  <w:r w:rsidRPr="005B670C">
                    <w:rPr>
                      <w:rFonts w:ascii="Times New Roman" w:hAnsi="Times New Roman" w:cs="Times New Roman"/>
                      <w:sz w:val="20"/>
                      <w:szCs w:val="20"/>
                      <w:lang w:val="en-US"/>
                    </w:rPr>
                    <w:t xml:space="preserve"> N.B. [Fuzzy-cognitive approach to control of dynamic systems]. </w:t>
                  </w:r>
                  <w:proofErr w:type="spellStart"/>
                  <w:r w:rsidRPr="005B670C">
                    <w:rPr>
                      <w:rFonts w:ascii="Times New Roman" w:hAnsi="Times New Roman" w:cs="Times New Roman"/>
                      <w:i/>
                      <w:sz w:val="20"/>
                      <w:szCs w:val="20"/>
                      <w:lang w:val="en-US"/>
                    </w:rPr>
                    <w:t>Iskusstvennyj</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intellekt</w:t>
                  </w:r>
                  <w:proofErr w:type="spellEnd"/>
                  <w:r w:rsidRPr="005B670C">
                    <w:rPr>
                      <w:rFonts w:ascii="Times New Roman" w:hAnsi="Times New Roman" w:cs="Times New Roman"/>
                      <w:sz w:val="20"/>
                      <w:szCs w:val="20"/>
                      <w:lang w:val="en-US"/>
                    </w:rPr>
                    <w:t xml:space="preserve"> [Artificial Intelligence], 2003, vol. 4, pp. 342–349. (</w:t>
                  </w:r>
                  <w:proofErr w:type="gramStart"/>
                  <w:r w:rsidRPr="005B670C">
                    <w:rPr>
                      <w:rFonts w:ascii="Times New Roman" w:hAnsi="Times New Roman" w:cs="Times New Roman"/>
                      <w:sz w:val="20"/>
                      <w:szCs w:val="20"/>
                      <w:lang w:val="en-US"/>
                    </w:rPr>
                    <w:t>in</w:t>
                  </w:r>
                  <w:proofErr w:type="gramEnd"/>
                  <w:r w:rsidRPr="005B670C">
                    <w:rPr>
                      <w:rFonts w:ascii="Times New Roman" w:hAnsi="Times New Roman" w:cs="Times New Roman"/>
                      <w:sz w:val="20"/>
                      <w:szCs w:val="20"/>
                      <w:lang w:val="en-US"/>
                    </w:rPr>
                    <w:t xml:space="preserve"> Russ.) </w:t>
                  </w:r>
                </w:p>
                <w:p w:rsidR="00F332D6" w:rsidRPr="005B670C" w:rsidRDefault="00F332D6" w:rsidP="005B670C">
                  <w:pPr>
                    <w:pStyle w:val="af6"/>
                    <w:numPr>
                      <w:ilvl w:val="0"/>
                      <w:numId w:val="22"/>
                    </w:numPr>
                    <w:tabs>
                      <w:tab w:val="left" w:pos="426"/>
                    </w:tabs>
                    <w:autoSpaceDE/>
                    <w:autoSpaceDN/>
                    <w:rPr>
                      <w:rFonts w:ascii="Times New Roman" w:hAnsi="Times New Roman" w:cs="Times New Roman"/>
                      <w:sz w:val="20"/>
                      <w:szCs w:val="20"/>
                      <w:lang w:val="en-US"/>
                    </w:rPr>
                  </w:pPr>
                  <w:proofErr w:type="spellStart"/>
                  <w:r w:rsidRPr="005B670C">
                    <w:rPr>
                      <w:rFonts w:ascii="Times New Roman" w:hAnsi="Times New Roman" w:cs="Times New Roman"/>
                      <w:sz w:val="20"/>
                      <w:szCs w:val="20"/>
                      <w:lang w:val="en-US"/>
                    </w:rPr>
                    <w:t>Shatalova</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sz w:val="20"/>
                      <w:szCs w:val="20"/>
                      <w:lang w:val="en-US"/>
                    </w:rPr>
                    <w:t>O.M.</w:t>
                  </w:r>
                  <w:proofErr w:type="spellEnd"/>
                  <w:r w:rsidRPr="005B670C">
                    <w:rPr>
                      <w:rFonts w:ascii="Times New Roman" w:hAnsi="Times New Roman" w:cs="Times New Roman"/>
                      <w:sz w:val="20"/>
                      <w:szCs w:val="20"/>
                      <w:lang w:val="en-US"/>
                    </w:rPr>
                    <w:t xml:space="preserve"> </w:t>
                  </w:r>
                  <w:proofErr w:type="spellStart"/>
                  <w:r w:rsidRPr="005B670C">
                    <w:rPr>
                      <w:rFonts w:ascii="Times New Roman" w:hAnsi="Times New Roman" w:cs="Times New Roman"/>
                      <w:i/>
                      <w:sz w:val="20"/>
                      <w:szCs w:val="20"/>
                      <w:lang w:val="en-US"/>
                    </w:rPr>
                    <w:t>Metodologiya</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izmereniya</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regional'noj</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effektivnosti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tekhnologicheskih</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innovacij</w:t>
                  </w:r>
                  <w:proofErr w:type="spellEnd"/>
                  <w:r w:rsidRPr="005B670C">
                    <w:rPr>
                      <w:rFonts w:ascii="Times New Roman" w:hAnsi="Times New Roman" w:cs="Times New Roman"/>
                      <w:i/>
                      <w:sz w:val="20"/>
                      <w:szCs w:val="20"/>
                      <w:lang w:val="en-US"/>
                    </w:rPr>
                    <w:t xml:space="preserve"> v </w:t>
                  </w:r>
                  <w:proofErr w:type="spellStart"/>
                  <w:r w:rsidRPr="005B670C">
                    <w:rPr>
                      <w:rFonts w:ascii="Times New Roman" w:hAnsi="Times New Roman" w:cs="Times New Roman"/>
                      <w:i/>
                      <w:sz w:val="20"/>
                      <w:szCs w:val="20"/>
                      <w:lang w:val="en-US"/>
                    </w:rPr>
                    <w:t>realizacii</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mekhanizmov</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stimulirovaniya</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innovacionnoj</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aktivnosti</w:t>
                  </w:r>
                  <w:proofErr w:type="spellEnd"/>
                  <w:r w:rsidRPr="005B670C">
                    <w:rPr>
                      <w:rFonts w:ascii="Times New Roman" w:hAnsi="Times New Roman" w:cs="Times New Roman"/>
                      <w:i/>
                      <w:sz w:val="20"/>
                      <w:szCs w:val="20"/>
                      <w:lang w:val="en-US"/>
                    </w:rPr>
                    <w:t xml:space="preserve"> (</w:t>
                  </w:r>
                  <w:proofErr w:type="spellStart"/>
                  <w:proofErr w:type="gramStart"/>
                  <w:r w:rsidRPr="005B670C">
                    <w:rPr>
                      <w:rFonts w:ascii="Times New Roman" w:hAnsi="Times New Roman" w:cs="Times New Roman"/>
                      <w:i/>
                      <w:sz w:val="20"/>
                      <w:szCs w:val="20"/>
                      <w:lang w:val="en-US"/>
                    </w:rPr>
                    <w:t>na</w:t>
                  </w:r>
                  <w:proofErr w:type="spellEnd"/>
                  <w:proofErr w:type="gram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primere</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Udmurtskoj</w:t>
                  </w:r>
                  <w:proofErr w:type="spellEnd"/>
                  <w:r w:rsidRPr="005B670C">
                    <w:rPr>
                      <w:rFonts w:ascii="Times New Roman" w:hAnsi="Times New Roman" w:cs="Times New Roman"/>
                      <w:i/>
                      <w:sz w:val="20"/>
                      <w:szCs w:val="20"/>
                      <w:lang w:val="en-US"/>
                    </w:rPr>
                    <w:t xml:space="preserve"> </w:t>
                  </w:r>
                  <w:proofErr w:type="spellStart"/>
                  <w:r w:rsidRPr="005B670C">
                    <w:rPr>
                      <w:rFonts w:ascii="Times New Roman" w:hAnsi="Times New Roman" w:cs="Times New Roman"/>
                      <w:i/>
                      <w:sz w:val="20"/>
                      <w:szCs w:val="20"/>
                      <w:lang w:val="en-US"/>
                    </w:rPr>
                    <w:t>Respubliki</w:t>
                  </w:r>
                  <w:proofErr w:type="spellEnd"/>
                  <w:r w:rsidRPr="005B670C">
                    <w:rPr>
                      <w:rFonts w:ascii="Times New Roman" w:hAnsi="Times New Roman" w:cs="Times New Roman"/>
                      <w:i/>
                      <w:sz w:val="20"/>
                      <w:szCs w:val="20"/>
                      <w:lang w:val="en-US"/>
                    </w:rPr>
                    <w:t>)</w:t>
                  </w:r>
                  <w:r w:rsidRPr="005B670C">
                    <w:rPr>
                      <w:rFonts w:ascii="Times New Roman" w:hAnsi="Times New Roman" w:cs="Times New Roman"/>
                      <w:sz w:val="20"/>
                      <w:szCs w:val="20"/>
                      <w:lang w:val="en-US"/>
                    </w:rPr>
                    <w:t xml:space="preserve"> [Metho</w:t>
                  </w:r>
                  <w:r w:rsidRPr="005B670C">
                    <w:rPr>
                      <w:rFonts w:ascii="Times New Roman" w:hAnsi="Times New Roman" w:cs="Times New Roman"/>
                      <w:sz w:val="20"/>
                      <w:szCs w:val="20"/>
                      <w:lang w:val="en-US"/>
                    </w:rPr>
                    <w:t>d</w:t>
                  </w:r>
                  <w:r w:rsidRPr="005B670C">
                    <w:rPr>
                      <w:rFonts w:ascii="Times New Roman" w:hAnsi="Times New Roman" w:cs="Times New Roman"/>
                      <w:sz w:val="20"/>
                      <w:szCs w:val="20"/>
                      <w:lang w:val="en-US"/>
                    </w:rPr>
                    <w:t>ology for measuring the regional effectiveness of technological innovation in the implementation of incentive mechanisms for innovative activity (for example, the Udmurt Republic)]. Izhevsk, 2015.</w:t>
                  </w:r>
                </w:p>
                <w:p w:rsidR="00F332D6" w:rsidRPr="005B670C" w:rsidRDefault="00F332D6" w:rsidP="005B670C">
                  <w:pPr>
                    <w:pStyle w:val="af6"/>
                    <w:tabs>
                      <w:tab w:val="left" w:pos="426"/>
                    </w:tabs>
                    <w:ind w:firstLine="397"/>
                    <w:rPr>
                      <w:rFonts w:ascii="Times New Roman" w:hAnsi="Times New Roman" w:cs="Times New Roman"/>
                      <w:sz w:val="20"/>
                      <w:szCs w:val="20"/>
                    </w:rPr>
                  </w:pPr>
                </w:p>
                <w:p w:rsidR="00F332D6" w:rsidRPr="005B670C" w:rsidRDefault="00F332D6" w:rsidP="005B670C">
                  <w:pPr>
                    <w:pStyle w:val="af6"/>
                    <w:tabs>
                      <w:tab w:val="left" w:pos="426"/>
                    </w:tabs>
                    <w:ind w:firstLine="397"/>
                    <w:rPr>
                      <w:rFonts w:ascii="Times New Roman" w:hAnsi="Times New Roman" w:cs="Times New Roman"/>
                      <w:sz w:val="20"/>
                      <w:szCs w:val="20"/>
                    </w:rPr>
                  </w:pPr>
                </w:p>
                <w:p w:rsidR="00F332D6" w:rsidRPr="005B670C" w:rsidRDefault="00F332D6" w:rsidP="005B670C">
                  <w:pPr>
                    <w:pStyle w:val="af6"/>
                    <w:tabs>
                      <w:tab w:val="left" w:pos="426"/>
                    </w:tabs>
                    <w:spacing w:after="60"/>
                    <w:ind w:firstLine="397"/>
                    <w:rPr>
                      <w:rFonts w:ascii="Times New Roman" w:hAnsi="Times New Roman" w:cs="Times New Roman"/>
                      <w:sz w:val="20"/>
                      <w:szCs w:val="20"/>
                      <w:lang w:val="en-US"/>
                    </w:rPr>
                  </w:pPr>
                  <w:r w:rsidRPr="005B670C">
                    <w:rPr>
                      <w:rFonts w:ascii="Times New Roman" w:hAnsi="Times New Roman" w:cs="Times New Roman"/>
                      <w:b/>
                      <w:sz w:val="20"/>
                      <w:szCs w:val="20"/>
                      <w:lang w:val="en-US"/>
                    </w:rPr>
                    <w:t xml:space="preserve">Olga M. </w:t>
                  </w:r>
                  <w:proofErr w:type="spellStart"/>
                  <w:r w:rsidRPr="005B670C">
                    <w:rPr>
                      <w:rFonts w:ascii="Times New Roman" w:hAnsi="Times New Roman" w:cs="Times New Roman"/>
                      <w:b/>
                      <w:sz w:val="20"/>
                      <w:szCs w:val="20"/>
                      <w:lang w:val="en-US"/>
                    </w:rPr>
                    <w:t>Shatalova</w:t>
                  </w:r>
                  <w:proofErr w:type="spellEnd"/>
                  <w:r w:rsidRPr="005B670C">
                    <w:rPr>
                      <w:rFonts w:ascii="Times New Roman" w:hAnsi="Times New Roman" w:cs="Times New Roman"/>
                      <w:sz w:val="20"/>
                      <w:szCs w:val="20"/>
                      <w:lang w:val="en-US"/>
                    </w:rPr>
                    <w:t xml:space="preserve">, </w:t>
                  </w:r>
                  <w:r w:rsidR="001B1D07" w:rsidRPr="00707825">
                    <w:rPr>
                      <w:rFonts w:ascii="Times New Roman" w:hAnsi="Times New Roman" w:cs="Times New Roman"/>
                      <w:sz w:val="20"/>
                      <w:szCs w:val="20"/>
                      <w:lang w:val="en-US"/>
                    </w:rPr>
                    <w:t>Doctor</w:t>
                  </w:r>
                  <w:r w:rsidRPr="005B670C">
                    <w:rPr>
                      <w:rFonts w:ascii="Times New Roman" w:hAnsi="Times New Roman" w:cs="Times New Roman"/>
                      <w:sz w:val="20"/>
                      <w:szCs w:val="20"/>
                      <w:lang w:val="en-US"/>
                    </w:rPr>
                    <w:t xml:space="preserve"> of Sciences (Economics), Senior Research Fellow, Udmurt Branch of the Inst</w:t>
                  </w:r>
                  <w:r w:rsidRPr="005B670C">
                    <w:rPr>
                      <w:rFonts w:ascii="Times New Roman" w:hAnsi="Times New Roman" w:cs="Times New Roman"/>
                      <w:sz w:val="20"/>
                      <w:szCs w:val="20"/>
                      <w:lang w:val="en-US"/>
                    </w:rPr>
                    <w:t>i</w:t>
                  </w:r>
                  <w:r w:rsidRPr="005B670C">
                    <w:rPr>
                      <w:rFonts w:ascii="Times New Roman" w:hAnsi="Times New Roman" w:cs="Times New Roman"/>
                      <w:sz w:val="20"/>
                      <w:szCs w:val="20"/>
                      <w:lang w:val="en-US"/>
                    </w:rPr>
                    <w:t xml:space="preserve">tute of Economics of the Ural Branch of the Russian Academy of Sciences, Izhevsk, </w:t>
                  </w:r>
                  <w:hyperlink r:id="rId12" w:history="1">
                    <w:r w:rsidRPr="005B670C">
                      <w:rPr>
                        <w:rFonts w:ascii="Times New Roman" w:hAnsi="Times New Roman" w:cs="Times New Roman"/>
                        <w:sz w:val="20"/>
                        <w:szCs w:val="20"/>
                        <w:lang w:val="en-US"/>
                      </w:rPr>
                      <w:t>oshatalova@mail.ru</w:t>
                    </w:r>
                  </w:hyperlink>
                </w:p>
                <w:p w:rsidR="00F332D6" w:rsidRPr="005B670C" w:rsidRDefault="00F332D6" w:rsidP="005B670C">
                  <w:pPr>
                    <w:pStyle w:val="af6"/>
                    <w:tabs>
                      <w:tab w:val="left" w:pos="426"/>
                    </w:tabs>
                    <w:ind w:firstLine="397"/>
                    <w:rPr>
                      <w:rFonts w:ascii="Times New Roman" w:hAnsi="Times New Roman" w:cs="Times New Roman"/>
                      <w:sz w:val="20"/>
                      <w:szCs w:val="20"/>
                      <w:lang w:val="en-US"/>
                    </w:rPr>
                  </w:pPr>
                  <w:proofErr w:type="spellStart"/>
                  <w:r w:rsidRPr="005B670C">
                    <w:rPr>
                      <w:rFonts w:ascii="Times New Roman" w:hAnsi="Times New Roman" w:cs="Times New Roman"/>
                      <w:b/>
                      <w:sz w:val="20"/>
                      <w:szCs w:val="20"/>
                      <w:lang w:val="en-US"/>
                    </w:rPr>
                    <w:t>Yulia</w:t>
                  </w:r>
                  <w:proofErr w:type="spellEnd"/>
                  <w:r w:rsidRPr="005B670C">
                    <w:rPr>
                      <w:rFonts w:ascii="Times New Roman" w:hAnsi="Times New Roman" w:cs="Times New Roman"/>
                      <w:b/>
                      <w:sz w:val="20"/>
                      <w:szCs w:val="20"/>
                      <w:lang w:val="en-US"/>
                    </w:rPr>
                    <w:t xml:space="preserve"> G. </w:t>
                  </w:r>
                  <w:proofErr w:type="spellStart"/>
                  <w:r w:rsidRPr="005B670C">
                    <w:rPr>
                      <w:rFonts w:ascii="Times New Roman" w:hAnsi="Times New Roman" w:cs="Times New Roman"/>
                      <w:b/>
                      <w:sz w:val="20"/>
                      <w:szCs w:val="20"/>
                      <w:lang w:val="en-US"/>
                    </w:rPr>
                    <w:t>Kuzmenko</w:t>
                  </w:r>
                  <w:proofErr w:type="spellEnd"/>
                  <w:r w:rsidRPr="005B670C">
                    <w:rPr>
                      <w:rFonts w:ascii="Times New Roman" w:hAnsi="Times New Roman" w:cs="Times New Roman"/>
                      <w:sz w:val="20"/>
                      <w:szCs w:val="20"/>
                      <w:lang w:val="en-US"/>
                    </w:rPr>
                    <w:t>, Doctor of Sciences (Economics), Associate Professor, Professor of the Department of Management, South Ural State University, Chelyabinsk, julia.kyzmenko@gmail.com</w:t>
                  </w:r>
                </w:p>
                <w:p w:rsidR="00F332D6" w:rsidRPr="002B7485" w:rsidRDefault="00F332D6" w:rsidP="005B670C">
                  <w:pPr>
                    <w:pStyle w:val="af6"/>
                    <w:tabs>
                      <w:tab w:val="left" w:pos="426"/>
                    </w:tabs>
                    <w:ind w:firstLine="397"/>
                    <w:rPr>
                      <w:rFonts w:ascii="Times New Roman" w:hAnsi="Times New Roman" w:cs="Times New Roman"/>
                      <w:sz w:val="20"/>
                      <w:szCs w:val="28"/>
                      <w:lang w:val="en-US"/>
                    </w:rPr>
                  </w:pPr>
                </w:p>
                <w:p w:rsidR="00F332D6" w:rsidRPr="002B7485" w:rsidRDefault="00F332D6" w:rsidP="005B670C">
                  <w:pPr>
                    <w:ind w:firstLine="340"/>
                    <w:jc w:val="right"/>
                    <w:rPr>
                      <w:b/>
                      <w:i/>
                      <w:sz w:val="18"/>
                      <w:szCs w:val="18"/>
                      <w:lang w:val="en-US"/>
                    </w:rPr>
                  </w:pPr>
                  <w:proofErr w:type="spellStart"/>
                  <w:r w:rsidRPr="002B7485">
                    <w:rPr>
                      <w:b/>
                      <w:i/>
                      <w:sz w:val="18"/>
                      <w:szCs w:val="18"/>
                    </w:rPr>
                    <w:t>Received</w:t>
                  </w:r>
                  <w:proofErr w:type="spellEnd"/>
                  <w:r w:rsidRPr="002B7485">
                    <w:rPr>
                      <w:b/>
                      <w:i/>
                      <w:sz w:val="18"/>
                      <w:szCs w:val="18"/>
                      <w:lang w:val="en-US"/>
                    </w:rPr>
                    <w:t xml:space="preserve"> November 21, 2021</w:t>
                  </w:r>
                </w:p>
                <w:p w:rsidR="00F332D6" w:rsidRPr="002B7485" w:rsidRDefault="00F332D6" w:rsidP="005B670C">
                  <w:pPr>
                    <w:ind w:firstLine="340"/>
                    <w:jc w:val="right"/>
                    <w:rPr>
                      <w:b/>
                      <w:sz w:val="22"/>
                    </w:rPr>
                  </w:pPr>
                </w:p>
                <w:tbl>
                  <w:tblPr>
                    <w:tblW w:w="5000" w:type="pct"/>
                    <w:jc w:val="center"/>
                    <w:tblLook w:val="04A0"/>
                  </w:tblPr>
                  <w:tblGrid>
                    <w:gridCol w:w="4448"/>
                    <w:gridCol w:w="407"/>
                    <w:gridCol w:w="4438"/>
                  </w:tblGrid>
                  <w:tr w:rsidR="00F332D6" w:rsidRPr="002B7485" w:rsidTr="00F332D6">
                    <w:trPr>
                      <w:jc w:val="center"/>
                    </w:trPr>
                    <w:tc>
                      <w:tcPr>
                        <w:tcW w:w="2393" w:type="pct"/>
                        <w:tcBorders>
                          <w:top w:val="single" w:sz="4" w:space="0" w:color="auto"/>
                        </w:tcBorders>
                      </w:tcPr>
                      <w:p w:rsidR="00F332D6" w:rsidRPr="002B7485" w:rsidRDefault="00F332D6" w:rsidP="00F332D6">
                        <w:pPr>
                          <w:tabs>
                            <w:tab w:val="left" w:pos="397"/>
                          </w:tabs>
                          <w:spacing w:before="240" w:after="120"/>
                          <w:jc w:val="center"/>
                          <w:rPr>
                            <w:b/>
                            <w:sz w:val="18"/>
                          </w:rPr>
                        </w:pPr>
                        <w:r w:rsidRPr="002B7485">
                          <w:rPr>
                            <w:b/>
                            <w:caps/>
                            <w:sz w:val="18"/>
                          </w:rPr>
                          <w:t>Образец цитирования</w:t>
                        </w:r>
                      </w:p>
                    </w:tc>
                    <w:tc>
                      <w:tcPr>
                        <w:tcW w:w="219" w:type="pct"/>
                        <w:tcBorders>
                          <w:top w:val="single" w:sz="4" w:space="0" w:color="auto"/>
                        </w:tcBorders>
                      </w:tcPr>
                      <w:p w:rsidR="00F332D6" w:rsidRPr="002B7485" w:rsidRDefault="00F332D6" w:rsidP="00F332D6">
                        <w:pPr>
                          <w:tabs>
                            <w:tab w:val="left" w:pos="397"/>
                          </w:tabs>
                          <w:spacing w:before="240" w:after="120"/>
                          <w:jc w:val="center"/>
                          <w:rPr>
                            <w:b/>
                            <w:sz w:val="18"/>
                          </w:rPr>
                        </w:pPr>
                      </w:p>
                    </w:tc>
                    <w:tc>
                      <w:tcPr>
                        <w:tcW w:w="2388" w:type="pct"/>
                        <w:tcBorders>
                          <w:top w:val="single" w:sz="4" w:space="0" w:color="auto"/>
                        </w:tcBorders>
                      </w:tcPr>
                      <w:p w:rsidR="00F332D6" w:rsidRPr="002B7485" w:rsidRDefault="00F332D6" w:rsidP="00F332D6">
                        <w:pPr>
                          <w:tabs>
                            <w:tab w:val="left" w:pos="397"/>
                          </w:tabs>
                          <w:spacing w:before="240" w:after="120"/>
                          <w:jc w:val="center"/>
                          <w:rPr>
                            <w:b/>
                            <w:sz w:val="18"/>
                          </w:rPr>
                        </w:pPr>
                        <w:r w:rsidRPr="002B7485">
                          <w:rPr>
                            <w:b/>
                            <w:sz w:val="18"/>
                          </w:rPr>
                          <w:t>FOR CITATION</w:t>
                        </w:r>
                      </w:p>
                    </w:tc>
                  </w:tr>
                  <w:tr w:rsidR="00F332D6" w:rsidRPr="005B670C" w:rsidTr="00F332D6">
                    <w:trPr>
                      <w:jc w:val="center"/>
                    </w:trPr>
                    <w:tc>
                      <w:tcPr>
                        <w:tcW w:w="2393" w:type="pct"/>
                        <w:tcBorders>
                          <w:bottom w:val="single" w:sz="4" w:space="0" w:color="auto"/>
                        </w:tcBorders>
                      </w:tcPr>
                      <w:p w:rsidR="00F332D6" w:rsidRPr="002B7485" w:rsidRDefault="00F332D6" w:rsidP="00F332D6">
                        <w:pPr>
                          <w:tabs>
                            <w:tab w:val="left" w:pos="397"/>
                          </w:tabs>
                          <w:ind w:firstLine="397"/>
                          <w:rPr>
                            <w:sz w:val="18"/>
                            <w:szCs w:val="18"/>
                          </w:rPr>
                        </w:pPr>
                        <w:r w:rsidRPr="002B7485">
                          <w:rPr>
                            <w:sz w:val="18"/>
                            <w:szCs w:val="18"/>
                          </w:rPr>
                          <w:t>Шаталова, О.М. Метод оценки региональных п</w:t>
                        </w:r>
                        <w:r w:rsidRPr="002B7485">
                          <w:rPr>
                            <w:sz w:val="18"/>
                            <w:szCs w:val="18"/>
                          </w:rPr>
                          <w:t>о</w:t>
                        </w:r>
                        <w:r w:rsidRPr="002B7485">
                          <w:rPr>
                            <w:sz w:val="18"/>
                            <w:szCs w:val="18"/>
                          </w:rPr>
                          <w:t>казателей устойчивого развития в сфере индустрии и инноваций / О.М. Шаталова, Ю.Г. Кузменко // Вес</w:t>
                        </w:r>
                        <w:r w:rsidRPr="002B7485">
                          <w:rPr>
                            <w:sz w:val="18"/>
                            <w:szCs w:val="18"/>
                          </w:rPr>
                          <w:t>т</w:t>
                        </w:r>
                        <w:r w:rsidRPr="002B7485">
                          <w:rPr>
                            <w:sz w:val="18"/>
                            <w:szCs w:val="18"/>
                          </w:rPr>
                          <w:t>ник ЮУрГУ. Серия «Экономика и менеджмент». – 2021. – Т. 15, № 4. – С. </w:t>
                        </w:r>
                        <w:r w:rsidRPr="005B670C">
                          <w:rPr>
                            <w:sz w:val="18"/>
                            <w:szCs w:val="18"/>
                            <w:lang w:val="en-US"/>
                          </w:rPr>
                          <w:t>5</w:t>
                        </w:r>
                        <w:r w:rsidR="00856D01">
                          <w:rPr>
                            <w:sz w:val="18"/>
                            <w:szCs w:val="18"/>
                            <w:lang w:val="en-US"/>
                          </w:rPr>
                          <w:t>7</w:t>
                        </w:r>
                        <w:r w:rsidRPr="002B7485">
                          <w:rPr>
                            <w:sz w:val="18"/>
                            <w:szCs w:val="18"/>
                            <w:lang w:val="en-US"/>
                          </w:rPr>
                          <w:t>–</w:t>
                        </w:r>
                        <w:r>
                          <w:rPr>
                            <w:sz w:val="18"/>
                            <w:szCs w:val="18"/>
                          </w:rPr>
                          <w:t>6</w:t>
                        </w:r>
                        <w:r w:rsidR="00856D01">
                          <w:rPr>
                            <w:sz w:val="18"/>
                            <w:szCs w:val="18"/>
                            <w:lang w:val="en-US"/>
                          </w:rPr>
                          <w:t>4</w:t>
                        </w:r>
                        <w:r w:rsidRPr="002B7485">
                          <w:rPr>
                            <w:sz w:val="18"/>
                            <w:szCs w:val="18"/>
                          </w:rPr>
                          <w:t>. DOI: 10.14529/</w:t>
                        </w:r>
                        <w:r>
                          <w:rPr>
                            <w:sz w:val="18"/>
                            <w:szCs w:val="18"/>
                          </w:rPr>
                          <w:t xml:space="preserve"> </w:t>
                        </w:r>
                        <w:r w:rsidRPr="002B7485">
                          <w:rPr>
                            <w:sz w:val="18"/>
                            <w:szCs w:val="18"/>
                          </w:rPr>
                          <w:t>em210406</w:t>
                        </w:r>
                      </w:p>
                      <w:p w:rsidR="00F332D6" w:rsidRPr="002B7485" w:rsidRDefault="00F332D6" w:rsidP="00F332D6">
                        <w:pPr>
                          <w:tabs>
                            <w:tab w:val="left" w:pos="397"/>
                          </w:tabs>
                          <w:ind w:firstLine="397"/>
                          <w:rPr>
                            <w:sz w:val="18"/>
                            <w:szCs w:val="18"/>
                          </w:rPr>
                        </w:pPr>
                      </w:p>
                    </w:tc>
                    <w:tc>
                      <w:tcPr>
                        <w:tcW w:w="219" w:type="pct"/>
                        <w:tcBorders>
                          <w:bottom w:val="single" w:sz="4" w:space="0" w:color="auto"/>
                        </w:tcBorders>
                      </w:tcPr>
                      <w:p w:rsidR="00F332D6" w:rsidRPr="002B7485" w:rsidRDefault="00F332D6" w:rsidP="00F332D6">
                        <w:pPr>
                          <w:tabs>
                            <w:tab w:val="left" w:pos="397"/>
                          </w:tabs>
                          <w:rPr>
                            <w:sz w:val="18"/>
                            <w:szCs w:val="18"/>
                            <w:highlight w:val="green"/>
                          </w:rPr>
                        </w:pPr>
                      </w:p>
                    </w:tc>
                    <w:tc>
                      <w:tcPr>
                        <w:tcW w:w="2388" w:type="pct"/>
                        <w:tcBorders>
                          <w:bottom w:val="single" w:sz="4" w:space="0" w:color="auto"/>
                        </w:tcBorders>
                      </w:tcPr>
                      <w:p w:rsidR="00F332D6" w:rsidRPr="005B670C" w:rsidRDefault="00F332D6" w:rsidP="00856D01">
                        <w:pPr>
                          <w:tabs>
                            <w:tab w:val="left" w:pos="397"/>
                          </w:tabs>
                          <w:ind w:firstLine="397"/>
                          <w:rPr>
                            <w:sz w:val="18"/>
                            <w:szCs w:val="18"/>
                            <w:highlight w:val="green"/>
                            <w:lang w:val="en-US"/>
                          </w:rPr>
                        </w:pPr>
                        <w:proofErr w:type="spellStart"/>
                        <w:r w:rsidRPr="002B7485">
                          <w:rPr>
                            <w:sz w:val="18"/>
                            <w:szCs w:val="18"/>
                            <w:lang w:val="en-US"/>
                          </w:rPr>
                          <w:t>Shatalova</w:t>
                        </w:r>
                        <w:proofErr w:type="spellEnd"/>
                        <w:r w:rsidRPr="002B7485">
                          <w:rPr>
                            <w:sz w:val="18"/>
                            <w:szCs w:val="18"/>
                            <w:lang w:val="en-US"/>
                          </w:rPr>
                          <w:t xml:space="preserve"> </w:t>
                        </w:r>
                        <w:proofErr w:type="spellStart"/>
                        <w:r w:rsidRPr="002B7485">
                          <w:rPr>
                            <w:sz w:val="18"/>
                            <w:szCs w:val="18"/>
                            <w:lang w:val="en-US"/>
                          </w:rPr>
                          <w:t>O.M.</w:t>
                        </w:r>
                        <w:proofErr w:type="spellEnd"/>
                        <w:r w:rsidRPr="002B7485">
                          <w:rPr>
                            <w:sz w:val="18"/>
                            <w:szCs w:val="18"/>
                            <w:lang w:val="en-US"/>
                          </w:rPr>
                          <w:t xml:space="preserve">, </w:t>
                        </w:r>
                        <w:proofErr w:type="spellStart"/>
                        <w:r w:rsidRPr="002B7485">
                          <w:rPr>
                            <w:sz w:val="18"/>
                            <w:szCs w:val="18"/>
                            <w:lang w:val="en-US"/>
                          </w:rPr>
                          <w:t>Kuzmenko</w:t>
                        </w:r>
                        <w:proofErr w:type="spellEnd"/>
                        <w:r w:rsidRPr="002B7485">
                          <w:rPr>
                            <w:sz w:val="18"/>
                            <w:szCs w:val="18"/>
                            <w:lang w:val="en-US"/>
                          </w:rPr>
                          <w:t xml:space="preserve"> </w:t>
                        </w:r>
                        <w:proofErr w:type="spellStart"/>
                        <w:r w:rsidRPr="002B7485">
                          <w:rPr>
                            <w:sz w:val="18"/>
                            <w:szCs w:val="18"/>
                            <w:lang w:val="en-US"/>
                          </w:rPr>
                          <w:t>Yu.G</w:t>
                        </w:r>
                        <w:proofErr w:type="spellEnd"/>
                        <w:r w:rsidRPr="002B7485">
                          <w:rPr>
                            <w:sz w:val="18"/>
                            <w:szCs w:val="18"/>
                            <w:lang w:val="en-US"/>
                          </w:rPr>
                          <w:t>. Method for A</w:t>
                        </w:r>
                        <w:r w:rsidRPr="002B7485">
                          <w:rPr>
                            <w:sz w:val="18"/>
                            <w:szCs w:val="18"/>
                            <w:lang w:val="en-US"/>
                          </w:rPr>
                          <w:t>s</w:t>
                        </w:r>
                        <w:r w:rsidRPr="002B7485">
                          <w:rPr>
                            <w:sz w:val="18"/>
                            <w:szCs w:val="18"/>
                            <w:lang w:val="en-US"/>
                          </w:rPr>
                          <w:t>sessing Regional Indicators of Sustainable Development Industry and Innovation</w:t>
                        </w:r>
                        <w:r w:rsidRPr="002B7485">
                          <w:rPr>
                            <w:sz w:val="18"/>
                            <w:szCs w:val="26"/>
                            <w:lang w:val="en-US"/>
                          </w:rPr>
                          <w:t xml:space="preserve">. </w:t>
                        </w:r>
                        <w:r w:rsidRPr="002B7485">
                          <w:rPr>
                            <w:i/>
                            <w:sz w:val="18"/>
                            <w:szCs w:val="18"/>
                            <w:lang w:val="en-US"/>
                          </w:rPr>
                          <w:t>Bulletin of the South Ural State University. Ser. Economics and Management</w:t>
                        </w:r>
                        <w:r w:rsidRPr="002B7485">
                          <w:rPr>
                            <w:sz w:val="18"/>
                            <w:szCs w:val="18"/>
                            <w:lang w:val="en-US"/>
                          </w:rPr>
                          <w:t xml:space="preserve">, 2021, vol. 15, no. 4, pp. </w:t>
                        </w:r>
                        <w:r w:rsidRPr="005B670C">
                          <w:rPr>
                            <w:sz w:val="18"/>
                            <w:szCs w:val="18"/>
                            <w:lang w:val="en-US"/>
                          </w:rPr>
                          <w:t>5</w:t>
                        </w:r>
                        <w:r w:rsidR="00856D01">
                          <w:rPr>
                            <w:sz w:val="18"/>
                            <w:szCs w:val="18"/>
                            <w:lang w:val="en-US"/>
                          </w:rPr>
                          <w:t>7</w:t>
                        </w:r>
                        <w:r w:rsidRPr="002B7485">
                          <w:rPr>
                            <w:sz w:val="18"/>
                            <w:szCs w:val="18"/>
                            <w:lang w:val="en-US"/>
                          </w:rPr>
                          <w:t>–</w:t>
                        </w:r>
                        <w:r w:rsidRPr="00E053D3">
                          <w:rPr>
                            <w:sz w:val="18"/>
                            <w:szCs w:val="18"/>
                            <w:lang w:val="en-US"/>
                          </w:rPr>
                          <w:t>6</w:t>
                        </w:r>
                        <w:r w:rsidR="00856D01">
                          <w:rPr>
                            <w:sz w:val="18"/>
                            <w:szCs w:val="18"/>
                            <w:lang w:val="en-US"/>
                          </w:rPr>
                          <w:t>4</w:t>
                        </w:r>
                        <w:r w:rsidRPr="002B7485">
                          <w:rPr>
                            <w:sz w:val="18"/>
                            <w:szCs w:val="18"/>
                            <w:lang w:val="en-US"/>
                          </w:rPr>
                          <w:t>. (</w:t>
                        </w:r>
                        <w:proofErr w:type="gramStart"/>
                        <w:r w:rsidRPr="002B7485">
                          <w:rPr>
                            <w:sz w:val="18"/>
                            <w:szCs w:val="18"/>
                            <w:lang w:val="en-US"/>
                          </w:rPr>
                          <w:t>in</w:t>
                        </w:r>
                        <w:proofErr w:type="gramEnd"/>
                        <w:r w:rsidRPr="002B7485">
                          <w:rPr>
                            <w:sz w:val="18"/>
                            <w:szCs w:val="18"/>
                            <w:lang w:val="en-US"/>
                          </w:rPr>
                          <w:t xml:space="preserve"> Russ.). DOI: 10.14529/em21040</w:t>
                        </w:r>
                        <w:r w:rsidRPr="005B670C">
                          <w:rPr>
                            <w:sz w:val="18"/>
                            <w:szCs w:val="18"/>
                            <w:lang w:val="en-US"/>
                          </w:rPr>
                          <w:t>6</w:t>
                        </w:r>
                      </w:p>
                    </w:tc>
                  </w:tr>
                </w:tbl>
                <w:p w:rsidR="00F332D6" w:rsidRPr="005B670C" w:rsidRDefault="00F332D6" w:rsidP="005B670C">
                  <w:pPr>
                    <w:tabs>
                      <w:tab w:val="left" w:pos="397"/>
                    </w:tabs>
                    <w:ind w:firstLine="397"/>
                    <w:rPr>
                      <w:sz w:val="18"/>
                      <w:szCs w:val="18"/>
                      <w:lang w:val="en-US"/>
                    </w:rPr>
                  </w:pPr>
                </w:p>
                <w:p w:rsidR="00F332D6" w:rsidRPr="005B670C" w:rsidRDefault="00F332D6" w:rsidP="005B670C">
                  <w:pPr>
                    <w:tabs>
                      <w:tab w:val="left" w:pos="397"/>
                    </w:tabs>
                    <w:ind w:firstLine="397"/>
                    <w:rPr>
                      <w:sz w:val="18"/>
                      <w:szCs w:val="18"/>
                      <w:lang w:val="en-US"/>
                    </w:rPr>
                  </w:pPr>
                </w:p>
                <w:p w:rsidR="00F332D6" w:rsidRPr="005B670C" w:rsidRDefault="00F332D6">
                  <w:pPr>
                    <w:rPr>
                      <w:lang w:val="en-US"/>
                    </w:rPr>
                  </w:pPr>
                </w:p>
              </w:txbxContent>
            </v:textbox>
          </v:shape>
        </w:pict>
      </w:r>
    </w:p>
    <w:p w:rsidR="00E7702C" w:rsidRPr="002B7485" w:rsidRDefault="00E7702C" w:rsidP="002B7485">
      <w:pPr>
        <w:widowControl w:val="0"/>
        <w:shd w:val="clear" w:color="auto" w:fill="FFFFFF"/>
        <w:ind w:firstLine="397"/>
        <w:rPr>
          <w:b/>
        </w:rPr>
      </w:pPr>
    </w:p>
    <w:sectPr w:rsidR="00E7702C" w:rsidRPr="002B7485" w:rsidSect="00856D01">
      <w:headerReference w:type="even" r:id="rId13"/>
      <w:headerReference w:type="default" r:id="rId14"/>
      <w:footerReference w:type="even" r:id="rId15"/>
      <w:footerReference w:type="default" r:id="rId16"/>
      <w:footerReference w:type="first" r:id="rId17"/>
      <w:endnotePr>
        <w:numFmt w:val="decimal"/>
      </w:endnotePr>
      <w:type w:val="continuous"/>
      <w:pgSz w:w="11906" w:h="16838" w:code="9"/>
      <w:pgMar w:top="1525" w:right="1418" w:bottom="1304" w:left="1247" w:header="1021" w:footer="1021" w:gutter="0"/>
      <w:pgNumType w:start="57"/>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30A" w:rsidRDefault="00BE230A">
      <w:r>
        <w:separator/>
      </w:r>
    </w:p>
  </w:endnote>
  <w:endnote w:type="continuationSeparator" w:id="0">
    <w:p w:rsidR="00BE230A" w:rsidRDefault="00BE23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D6" w:rsidRPr="00A34534" w:rsidRDefault="005201E1"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F332D6" w:rsidRPr="00A34534">
      <w:rPr>
        <w:rStyle w:val="afc"/>
        <w:rFonts w:ascii="Arial" w:hAnsi="Arial"/>
        <w:b/>
        <w:lang w:val="en-US"/>
      </w:rPr>
      <w:instrText xml:space="preserve">PAGE  </w:instrText>
    </w:r>
    <w:r>
      <w:rPr>
        <w:rStyle w:val="afc"/>
        <w:rFonts w:ascii="Arial" w:hAnsi="Arial"/>
        <w:b/>
      </w:rPr>
      <w:fldChar w:fldCharType="separate"/>
    </w:r>
    <w:r w:rsidR="00856D01">
      <w:rPr>
        <w:rStyle w:val="afc"/>
        <w:rFonts w:ascii="Arial" w:hAnsi="Arial"/>
        <w:b/>
        <w:noProof/>
        <w:lang w:val="en-US"/>
      </w:rPr>
      <w:t>64</w:t>
    </w:r>
    <w:r>
      <w:rPr>
        <w:rStyle w:val="afc"/>
        <w:rFonts w:ascii="Arial" w:hAnsi="Arial"/>
        <w:b/>
      </w:rPr>
      <w:fldChar w:fldCharType="end"/>
    </w:r>
  </w:p>
  <w:p w:rsidR="00F332D6" w:rsidRPr="002B7485" w:rsidRDefault="00F332D6"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Pr="00E053D3">
      <w:rPr>
        <w:rFonts w:ascii="Arial" w:hAnsi="Arial" w:cs="Arial"/>
        <w:b/>
        <w:sz w:val="17"/>
        <w:szCs w:val="17"/>
        <w:lang w:val="en-US"/>
      </w:rPr>
      <w:t>5</w:t>
    </w:r>
    <w:r w:rsidR="00856D01">
      <w:rPr>
        <w:rFonts w:ascii="Arial" w:hAnsi="Arial" w:cs="Arial"/>
        <w:b/>
        <w:sz w:val="17"/>
        <w:szCs w:val="17"/>
        <w:lang w:val="en-US"/>
      </w:rPr>
      <w:t>7</w:t>
    </w:r>
    <w:r w:rsidRPr="009541FA">
      <w:rPr>
        <w:rFonts w:ascii="Arial" w:hAnsi="Arial"/>
        <w:b/>
        <w:sz w:val="17"/>
        <w:szCs w:val="17"/>
        <w:lang w:val="en-US"/>
      </w:rPr>
      <w:t>–</w:t>
    </w:r>
    <w:r w:rsidRPr="00E053D3">
      <w:rPr>
        <w:rFonts w:ascii="Arial" w:hAnsi="Arial"/>
        <w:b/>
        <w:sz w:val="17"/>
        <w:szCs w:val="17"/>
        <w:lang w:val="en-US"/>
      </w:rPr>
      <w:t>6</w:t>
    </w:r>
    <w:r w:rsidR="00856D01">
      <w:rPr>
        <w:rFonts w:ascii="Arial" w:hAnsi="Arial"/>
        <w:b/>
        <w:sz w:val="17"/>
        <w:szCs w:val="17"/>
        <w:lang w:val="en-US"/>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D6" w:rsidRDefault="005201E1"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F332D6">
      <w:rPr>
        <w:rStyle w:val="afc"/>
        <w:rFonts w:ascii="Arial" w:hAnsi="Arial"/>
        <w:b/>
      </w:rPr>
      <w:instrText xml:space="preserve">PAGE  </w:instrText>
    </w:r>
    <w:r>
      <w:rPr>
        <w:rStyle w:val="afc"/>
        <w:rFonts w:ascii="Arial" w:hAnsi="Arial"/>
        <w:b/>
      </w:rPr>
      <w:fldChar w:fldCharType="separate"/>
    </w:r>
    <w:r w:rsidR="00856D01">
      <w:rPr>
        <w:rStyle w:val="afc"/>
        <w:rFonts w:ascii="Arial" w:hAnsi="Arial"/>
        <w:b/>
        <w:noProof/>
      </w:rPr>
      <w:t>63</w:t>
    </w:r>
    <w:r>
      <w:rPr>
        <w:rStyle w:val="afc"/>
        <w:rFonts w:ascii="Arial" w:hAnsi="Arial"/>
        <w:b/>
      </w:rPr>
      <w:fldChar w:fldCharType="end"/>
    </w:r>
  </w:p>
  <w:p w:rsidR="00F332D6" w:rsidRDefault="00F332D6"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Pr>
        <w:rFonts w:ascii="Arial" w:hAnsi="Arial" w:cs="Arial"/>
        <w:b/>
        <w:sz w:val="17"/>
        <w:szCs w:val="17"/>
      </w:rPr>
      <w:t>5</w:t>
    </w:r>
    <w:r w:rsidR="00856D01">
      <w:rPr>
        <w:rFonts w:ascii="Arial" w:hAnsi="Arial" w:cs="Arial"/>
        <w:b/>
        <w:sz w:val="17"/>
        <w:szCs w:val="17"/>
        <w:lang w:val="en-US"/>
      </w:rPr>
      <w:t>7</w:t>
    </w:r>
    <w:r w:rsidRPr="009541FA">
      <w:rPr>
        <w:rFonts w:ascii="Arial" w:hAnsi="Arial"/>
        <w:b/>
        <w:sz w:val="17"/>
        <w:szCs w:val="17"/>
        <w:lang w:val="en-US"/>
      </w:rPr>
      <w:t>–</w:t>
    </w:r>
    <w:r>
      <w:rPr>
        <w:rFonts w:ascii="Arial" w:hAnsi="Arial"/>
        <w:b/>
        <w:sz w:val="17"/>
        <w:szCs w:val="17"/>
      </w:rPr>
      <w:t>6</w:t>
    </w:r>
    <w:r w:rsidR="00856D01">
      <w:rPr>
        <w:rFonts w:ascii="Arial" w:hAnsi="Arial"/>
        <w:b/>
        <w:sz w:val="17"/>
        <w:szCs w:val="17"/>
        <w:lang w:val="en-US"/>
      </w:rPr>
      <w:t>4</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D6" w:rsidRDefault="005201E1"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F332D6">
      <w:rPr>
        <w:rStyle w:val="afc"/>
        <w:rFonts w:ascii="Arial" w:hAnsi="Arial"/>
        <w:b/>
      </w:rPr>
      <w:instrText xml:space="preserve">PAGE  </w:instrText>
    </w:r>
    <w:r>
      <w:rPr>
        <w:rStyle w:val="afc"/>
        <w:rFonts w:ascii="Arial" w:hAnsi="Arial"/>
        <w:b/>
      </w:rPr>
      <w:fldChar w:fldCharType="separate"/>
    </w:r>
    <w:r w:rsidR="00856D01">
      <w:rPr>
        <w:rStyle w:val="afc"/>
        <w:rFonts w:ascii="Arial" w:hAnsi="Arial"/>
        <w:b/>
        <w:noProof/>
      </w:rPr>
      <w:t>57</w:t>
    </w:r>
    <w:r>
      <w:rPr>
        <w:rStyle w:val="afc"/>
        <w:rFonts w:ascii="Arial" w:hAnsi="Arial"/>
        <w:b/>
      </w:rPr>
      <w:fldChar w:fldCharType="end"/>
    </w:r>
  </w:p>
  <w:p w:rsidR="00F332D6" w:rsidRPr="003B1D4A" w:rsidRDefault="00856D01" w:rsidP="00856D01">
    <w:pPr>
      <w:pStyle w:val="ab"/>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Pr>
        <w:rFonts w:ascii="Arial" w:hAnsi="Arial" w:cs="Arial"/>
        <w:b/>
        <w:sz w:val="17"/>
        <w:szCs w:val="17"/>
      </w:rPr>
      <w:t>5</w:t>
    </w:r>
    <w:r>
      <w:rPr>
        <w:rFonts w:ascii="Arial" w:hAnsi="Arial" w:cs="Arial"/>
        <w:b/>
        <w:sz w:val="17"/>
        <w:szCs w:val="17"/>
        <w:lang w:val="en-US"/>
      </w:rPr>
      <w:t>7</w:t>
    </w:r>
    <w:r w:rsidRPr="009541FA">
      <w:rPr>
        <w:rFonts w:ascii="Arial" w:hAnsi="Arial"/>
        <w:b/>
        <w:sz w:val="17"/>
        <w:szCs w:val="17"/>
        <w:lang w:val="en-US"/>
      </w:rPr>
      <w:t>–</w:t>
    </w:r>
    <w:r>
      <w:rPr>
        <w:rFonts w:ascii="Arial" w:hAnsi="Arial"/>
        <w:b/>
        <w:sz w:val="17"/>
        <w:szCs w:val="17"/>
      </w:rPr>
      <w:t>6</w:t>
    </w:r>
    <w:r>
      <w:rPr>
        <w:rFonts w:ascii="Arial" w:hAnsi="Arial"/>
        <w:b/>
        <w:sz w:val="17"/>
        <w:szCs w:val="17"/>
        <w:lang w:val="en-US"/>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30A" w:rsidRDefault="00BE230A">
      <w:r>
        <w:separator/>
      </w:r>
    </w:p>
  </w:footnote>
  <w:footnote w:type="continuationSeparator" w:id="0">
    <w:p w:rsidR="00BE230A" w:rsidRDefault="00BE2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D6" w:rsidRPr="003C34B3" w:rsidRDefault="00F332D6">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Региональная</w:t>
    </w:r>
    <w:r w:rsidRPr="003C34B3">
      <w:rPr>
        <w:rFonts w:ascii="Arial" w:hAnsi="Arial" w:cs="Arial"/>
        <w:b/>
        <w:sz w:val="28"/>
        <w:szCs w:val="28"/>
      </w:rPr>
      <w:t xml:space="preserve"> экономика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D6" w:rsidRDefault="00F332D6" w:rsidP="00F311F0">
    <w:pPr>
      <w:adjustRightInd w:val="0"/>
      <w:rPr>
        <w:rFonts w:ascii="Arial" w:hAnsi="Arial" w:cs="Arial"/>
        <w:b/>
        <w:i/>
        <w:sz w:val="18"/>
        <w:szCs w:val="18"/>
      </w:rPr>
    </w:pPr>
    <w:r w:rsidRPr="002B7485">
      <w:rPr>
        <w:rFonts w:ascii="Arial" w:hAnsi="Arial" w:cs="Arial"/>
        <w:b/>
        <w:i/>
        <w:sz w:val="18"/>
        <w:szCs w:val="18"/>
      </w:rPr>
      <w:t xml:space="preserve">Шаталова О.М., Кузменко Ю.Г.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2B7485">
      <w:rPr>
        <w:rFonts w:ascii="Arial" w:hAnsi="Arial" w:cs="Arial"/>
        <w:b/>
        <w:i/>
        <w:sz w:val="18"/>
        <w:szCs w:val="18"/>
      </w:rPr>
      <w:t xml:space="preserve">Метод оценки региональных показателей </w:t>
    </w:r>
  </w:p>
  <w:p w:rsidR="00F332D6" w:rsidRPr="00171D17" w:rsidRDefault="00F332D6" w:rsidP="008477B2">
    <w:pPr>
      <w:pStyle w:val="a9"/>
      <w:pBdr>
        <w:bottom w:val="single" w:sz="4" w:space="1" w:color="auto"/>
      </w:pBdr>
      <w:tabs>
        <w:tab w:val="clear" w:pos="4153"/>
        <w:tab w:val="clear" w:pos="8306"/>
        <w:tab w:val="left" w:pos="454"/>
      </w:tabs>
      <w:spacing w:after="120"/>
      <w:jc w:val="right"/>
    </w:pP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171D17">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Pr="002B7485">
      <w:rPr>
        <w:rFonts w:ascii="Arial" w:hAnsi="Arial" w:cs="Arial"/>
        <w:b/>
        <w:i/>
        <w:sz w:val="18"/>
        <w:szCs w:val="18"/>
      </w:rPr>
      <w:t>устойчивого развития в сфере индустрии и инноваций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89B576F"/>
    <w:multiLevelType w:val="multilevel"/>
    <w:tmpl w:val="C0E6DC22"/>
    <w:lvl w:ilvl="0">
      <w:start w:val="1"/>
      <w:numFmt w:val="decimal"/>
      <w:suff w:val="space"/>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3309F9"/>
    <w:multiLevelType w:val="multilevel"/>
    <w:tmpl w:val="F5B273EE"/>
    <w:lvl w:ilvl="0">
      <w:start w:val="1"/>
      <w:numFmt w:val="decimal"/>
      <w:suff w:val="space"/>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B397E02"/>
    <w:multiLevelType w:val="multilevel"/>
    <w:tmpl w:val="CFFCA6E8"/>
    <w:lvl w:ilvl="0">
      <w:start w:val="13"/>
      <w:numFmt w:val="decimal"/>
      <w:suff w:val="space"/>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3DD54F8A"/>
    <w:multiLevelType w:val="multilevel"/>
    <w:tmpl w:val="65864B26"/>
    <w:lvl w:ilvl="0">
      <w:start w:val="1"/>
      <w:numFmt w:val="decimal"/>
      <w:suff w:val="space"/>
      <w:lvlText w:val="%1."/>
      <w:lvlJc w:val="left"/>
      <w:pPr>
        <w:ind w:left="0" w:firstLine="397"/>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5">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6">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17">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18">
    <w:nsid w:val="6190252C"/>
    <w:multiLevelType w:val="multilevel"/>
    <w:tmpl w:val="46EAF5D8"/>
    <w:lvl w:ilvl="0">
      <w:start w:val="1"/>
      <w:numFmt w:val="decimal"/>
      <w:suff w:val="space"/>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2">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17"/>
  </w:num>
  <w:num w:numId="2">
    <w:abstractNumId w:val="7"/>
  </w:num>
  <w:num w:numId="3">
    <w:abstractNumId w:val="11"/>
  </w:num>
  <w:num w:numId="4">
    <w:abstractNumId w:val="9"/>
  </w:num>
  <w:num w:numId="5">
    <w:abstractNumId w:val="19"/>
  </w:num>
  <w:num w:numId="6">
    <w:abstractNumId w:val="10"/>
  </w:num>
  <w:num w:numId="7">
    <w:abstractNumId w:val="2"/>
  </w:num>
  <w:num w:numId="8">
    <w:abstractNumId w:val="3"/>
  </w:num>
  <w:num w:numId="9">
    <w:abstractNumId w:val="1"/>
  </w:num>
  <w:num w:numId="10">
    <w:abstractNumId w:val="0"/>
  </w:num>
  <w:num w:numId="11">
    <w:abstractNumId w:val="15"/>
  </w:num>
  <w:num w:numId="12">
    <w:abstractNumId w:val="13"/>
  </w:num>
  <w:num w:numId="13">
    <w:abstractNumId w:val="16"/>
  </w:num>
  <w:num w:numId="14">
    <w:abstractNumId w:val="12"/>
  </w:num>
  <w:num w:numId="15">
    <w:abstractNumId w:val="20"/>
  </w:num>
  <w:num w:numId="16">
    <w:abstractNumId w:val="8"/>
  </w:num>
  <w:num w:numId="17">
    <w:abstractNumId w:val="21"/>
  </w:num>
  <w:num w:numId="18">
    <w:abstractNumId w:val="22"/>
  </w:num>
  <w:num w:numId="19">
    <w:abstractNumId w:val="18"/>
  </w:num>
  <w:num w:numId="20">
    <w:abstractNumId w:val="5"/>
  </w:num>
  <w:num w:numId="21">
    <w:abstractNumId w:val="4"/>
  </w:num>
  <w:num w:numId="22">
    <w:abstractNumId w:val="6"/>
  </w:num>
  <w:num w:numId="23">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8194"/>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45B"/>
    <w:rsid w:val="00024C7B"/>
    <w:rsid w:val="00024D1B"/>
    <w:rsid w:val="000251AD"/>
    <w:rsid w:val="00025CA6"/>
    <w:rsid w:val="00026BC3"/>
    <w:rsid w:val="0003341E"/>
    <w:rsid w:val="0003465E"/>
    <w:rsid w:val="00034D12"/>
    <w:rsid w:val="00035779"/>
    <w:rsid w:val="00037115"/>
    <w:rsid w:val="000405F8"/>
    <w:rsid w:val="00040EA5"/>
    <w:rsid w:val="00041326"/>
    <w:rsid w:val="00041D11"/>
    <w:rsid w:val="00043C87"/>
    <w:rsid w:val="00045CFD"/>
    <w:rsid w:val="00046C3B"/>
    <w:rsid w:val="0005318B"/>
    <w:rsid w:val="00053AC3"/>
    <w:rsid w:val="00054FB1"/>
    <w:rsid w:val="0005573F"/>
    <w:rsid w:val="000624AD"/>
    <w:rsid w:val="00062FFC"/>
    <w:rsid w:val="00065A94"/>
    <w:rsid w:val="00066E36"/>
    <w:rsid w:val="00071179"/>
    <w:rsid w:val="000720BF"/>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72F"/>
    <w:rsid w:val="00180C32"/>
    <w:rsid w:val="00180FCD"/>
    <w:rsid w:val="00181783"/>
    <w:rsid w:val="0018278F"/>
    <w:rsid w:val="00182F39"/>
    <w:rsid w:val="0018460C"/>
    <w:rsid w:val="00184D47"/>
    <w:rsid w:val="00184E6A"/>
    <w:rsid w:val="001871B3"/>
    <w:rsid w:val="0019079B"/>
    <w:rsid w:val="00194D6D"/>
    <w:rsid w:val="001A11C9"/>
    <w:rsid w:val="001A1212"/>
    <w:rsid w:val="001A2934"/>
    <w:rsid w:val="001A4348"/>
    <w:rsid w:val="001A6D3B"/>
    <w:rsid w:val="001A77BD"/>
    <w:rsid w:val="001A781F"/>
    <w:rsid w:val="001B1D07"/>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B7485"/>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4CD"/>
    <w:rsid w:val="003357B4"/>
    <w:rsid w:val="00336ABB"/>
    <w:rsid w:val="00340B9C"/>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C7D45"/>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A17A0"/>
    <w:rsid w:val="004A1B1C"/>
    <w:rsid w:val="004A28CB"/>
    <w:rsid w:val="004A2F7F"/>
    <w:rsid w:val="004A440E"/>
    <w:rsid w:val="004A698C"/>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1E1"/>
    <w:rsid w:val="0052027F"/>
    <w:rsid w:val="005205FA"/>
    <w:rsid w:val="0052116E"/>
    <w:rsid w:val="00521B17"/>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5676"/>
    <w:rsid w:val="00565859"/>
    <w:rsid w:val="00566D1C"/>
    <w:rsid w:val="005676AC"/>
    <w:rsid w:val="0057100B"/>
    <w:rsid w:val="00572E9A"/>
    <w:rsid w:val="00573CBE"/>
    <w:rsid w:val="00574C2C"/>
    <w:rsid w:val="005752F2"/>
    <w:rsid w:val="005754FA"/>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AE5"/>
    <w:rsid w:val="005B5F54"/>
    <w:rsid w:val="005B670C"/>
    <w:rsid w:val="005C129F"/>
    <w:rsid w:val="005C2694"/>
    <w:rsid w:val="005C2D3C"/>
    <w:rsid w:val="005C4A12"/>
    <w:rsid w:val="005D17BC"/>
    <w:rsid w:val="005D577A"/>
    <w:rsid w:val="005D609F"/>
    <w:rsid w:val="005D6D53"/>
    <w:rsid w:val="005E051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07825"/>
    <w:rsid w:val="0071080D"/>
    <w:rsid w:val="0071254C"/>
    <w:rsid w:val="00713263"/>
    <w:rsid w:val="00716E8D"/>
    <w:rsid w:val="007206B1"/>
    <w:rsid w:val="007220A7"/>
    <w:rsid w:val="0072496E"/>
    <w:rsid w:val="0073222B"/>
    <w:rsid w:val="00732602"/>
    <w:rsid w:val="007360D2"/>
    <w:rsid w:val="00736A16"/>
    <w:rsid w:val="0073732F"/>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427B"/>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0752"/>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6D01"/>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19D2"/>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A3D"/>
    <w:rsid w:val="00A63F7D"/>
    <w:rsid w:val="00A6573F"/>
    <w:rsid w:val="00A661A6"/>
    <w:rsid w:val="00A668F2"/>
    <w:rsid w:val="00A71D05"/>
    <w:rsid w:val="00A75268"/>
    <w:rsid w:val="00A766DA"/>
    <w:rsid w:val="00A7689E"/>
    <w:rsid w:val="00A7760D"/>
    <w:rsid w:val="00A80DF4"/>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AF2DB4"/>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58"/>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230A"/>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0883"/>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558"/>
    <w:rsid w:val="00CD2E0B"/>
    <w:rsid w:val="00CD30AA"/>
    <w:rsid w:val="00CD3541"/>
    <w:rsid w:val="00CD4A98"/>
    <w:rsid w:val="00CD5009"/>
    <w:rsid w:val="00CD5C84"/>
    <w:rsid w:val="00CD6557"/>
    <w:rsid w:val="00CD663C"/>
    <w:rsid w:val="00CE2969"/>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0AC9"/>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3D3"/>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02C"/>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6F83"/>
    <w:rsid w:val="00EC7B68"/>
    <w:rsid w:val="00EC7C8B"/>
    <w:rsid w:val="00EC7D62"/>
    <w:rsid w:val="00ED1CAF"/>
    <w:rsid w:val="00ED2A3B"/>
    <w:rsid w:val="00ED4595"/>
    <w:rsid w:val="00ED53B8"/>
    <w:rsid w:val="00ED74DA"/>
    <w:rsid w:val="00EE0E32"/>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3A1"/>
    <w:rsid w:val="00F17E3F"/>
    <w:rsid w:val="00F20E88"/>
    <w:rsid w:val="00F236B8"/>
    <w:rsid w:val="00F25CDE"/>
    <w:rsid w:val="00F265F7"/>
    <w:rsid w:val="00F276EE"/>
    <w:rsid w:val="00F27836"/>
    <w:rsid w:val="00F311F0"/>
    <w:rsid w:val="00F3238A"/>
    <w:rsid w:val="00F332D6"/>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A135C"/>
    <w:rsid w:val="00FA2206"/>
    <w:rsid w:val="00FA30A8"/>
    <w:rsid w:val="00FA40AF"/>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Normal Table" w:semiHidden="0" w:unhideWhenUsed="0"/>
    <w:lsdException w:name="annotation subject" w:uiPriority="99" w:qFormat="1"/>
    <w:lsdException w:name="No List" w:uiPriority="99"/>
    <w:lsdException w:name="Table Simple 1"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5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UnresolvedMention">
    <w:name w:val="Unresolved Mention"/>
    <w:basedOn w:val="a5"/>
    <w:uiPriority w:val="99"/>
    <w:semiHidden/>
    <w:unhideWhenUsed/>
    <w:rsid w:val="008477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hatalova@mail.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hatalova@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_________Microsoft_Visio111.vsdx"/><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Olga\&#1089;&#1090;&#1072;&#1090;&#1100;&#1080;%20(&#1064;&#1072;&#1090;&#1072;&#1083;&#1086;&#1074;&#1072;)\&#1089;&#1090;&#1072;&#1090;&#1100;&#1080;%202020%20&#1080;%20&#1076;&#1072;&#1083;&#1077;&#1077;\12.%2020211112_&#1042;&#1077;&#1089;&#1090;&#1085;.&#1070;&#1059;&#1088;&#1043;&#1059;\(ok)%20&#1056;&#1040;&#1057;&#1063;&#1045;&#1058;%20SD%20(SDe_SDin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5576334208224012E-2"/>
          <c:y val="7.4794731526849775E-2"/>
          <c:w val="0.57184733158355472"/>
          <c:h val="0.78068300719072092"/>
        </c:manualLayout>
      </c:layout>
      <c:barChart>
        <c:barDir val="col"/>
        <c:grouping val="clustered"/>
        <c:ser>
          <c:idx val="0"/>
          <c:order val="0"/>
          <c:tx>
            <c:strRef>
              <c:f>'рез-ты расчета в IMIT'!$D$1</c:f>
              <c:strCache>
                <c:ptCount val="1"/>
                <c:pt idx="0">
                  <c:v>уровень устойчивого развития региона: индустрия и инновации (SDind(9))</c:v>
                </c:pt>
              </c:strCache>
            </c:strRef>
          </c:tx>
          <c:spPr>
            <a:solidFill>
              <a:schemeClr val="tx2">
                <a:lumMod val="75000"/>
              </a:schemeClr>
            </a:solidFill>
          </c:spPr>
          <c:cat>
            <c:strRef>
              <c:f>'рез-ты расчета в IMIT'!$C$2:$C$15</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'рез-ты расчета в IMIT'!$D$2:$D$15</c:f>
              <c:numCache>
                <c:formatCode>General</c:formatCode>
                <c:ptCount val="14"/>
                <c:pt idx="0">
                  <c:v>3.7919999999999998</c:v>
                </c:pt>
                <c:pt idx="1">
                  <c:v>1.0680000000000001</c:v>
                </c:pt>
                <c:pt idx="2">
                  <c:v>3.0640000000000001</c:v>
                </c:pt>
                <c:pt idx="3">
                  <c:v>6.24</c:v>
                </c:pt>
                <c:pt idx="4">
                  <c:v>3.4979999999999998</c:v>
                </c:pt>
                <c:pt idx="5">
                  <c:v>2.0529999999999977</c:v>
                </c:pt>
                <c:pt idx="6">
                  <c:v>7.7160000000000002</c:v>
                </c:pt>
                <c:pt idx="7">
                  <c:v>1.62</c:v>
                </c:pt>
                <c:pt idx="8">
                  <c:v>8.1140000000000008</c:v>
                </c:pt>
                <c:pt idx="9">
                  <c:v>0.84700000000000064</c:v>
                </c:pt>
                <c:pt idx="10">
                  <c:v>1.4339999999999919</c:v>
                </c:pt>
                <c:pt idx="11">
                  <c:v>4.7880000000000003</c:v>
                </c:pt>
                <c:pt idx="12">
                  <c:v>0.64300000000000224</c:v>
                </c:pt>
                <c:pt idx="13">
                  <c:v>2.7530000000000001</c:v>
                </c:pt>
              </c:numCache>
            </c:numRef>
          </c:val>
          <c:extLst xmlns:c16r2="http://schemas.microsoft.com/office/drawing/2015/06/chart">
            <c:ext xmlns:c16="http://schemas.microsoft.com/office/drawing/2014/chart" uri="{C3380CC4-5D6E-409C-BE32-E72D297353CC}">
              <c16:uniqueId val="{00000000-C573-4DDE-9160-DEB4499CE96C}"/>
            </c:ext>
          </c:extLst>
        </c:ser>
        <c:ser>
          <c:idx val="1"/>
          <c:order val="1"/>
          <c:tx>
            <c:strRef>
              <c:f>'рез-ты расчета в IMIT'!$E$1</c:f>
              <c:strCache>
                <c:ptCount val="1"/>
                <c:pt idx="0">
                  <c:v>общеэкономический компонент (SDeind(9)) показателя SDind(9) </c:v>
                </c:pt>
              </c:strCache>
            </c:strRef>
          </c:tx>
          <c:spPr>
            <a:solidFill>
              <a:schemeClr val="accent1">
                <a:lumMod val="40000"/>
                <a:lumOff val="60000"/>
              </a:schemeClr>
            </a:solidFill>
          </c:spPr>
          <c:cat>
            <c:strRef>
              <c:f>'рез-ты расчета в IMIT'!$C$2:$C$15</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'рез-ты расчета в IMIT'!$E$2:$E$15</c:f>
              <c:numCache>
                <c:formatCode>General</c:formatCode>
                <c:ptCount val="14"/>
                <c:pt idx="0">
                  <c:v>4.8229999999999835</c:v>
                </c:pt>
                <c:pt idx="1">
                  <c:v>1.823</c:v>
                </c:pt>
                <c:pt idx="2">
                  <c:v>2.4289999999999998</c:v>
                </c:pt>
                <c:pt idx="3">
                  <c:v>5.968</c:v>
                </c:pt>
                <c:pt idx="4">
                  <c:v>4.1619999999999955</c:v>
                </c:pt>
                <c:pt idx="5">
                  <c:v>2.4759999999999978</c:v>
                </c:pt>
                <c:pt idx="6">
                  <c:v>8.1030000000000015</c:v>
                </c:pt>
                <c:pt idx="7">
                  <c:v>2.27</c:v>
                </c:pt>
                <c:pt idx="8">
                  <c:v>6.3219999999999965</c:v>
                </c:pt>
                <c:pt idx="9">
                  <c:v>1.816999999999996</c:v>
                </c:pt>
                <c:pt idx="10">
                  <c:v>2.0209999999999999</c:v>
                </c:pt>
                <c:pt idx="11">
                  <c:v>5.3460000000000001</c:v>
                </c:pt>
                <c:pt idx="12">
                  <c:v>1.5580000000000001</c:v>
                </c:pt>
                <c:pt idx="13">
                  <c:v>2.7669999999999999</c:v>
                </c:pt>
              </c:numCache>
            </c:numRef>
          </c:val>
          <c:extLst xmlns:c16r2="http://schemas.microsoft.com/office/drawing/2015/06/chart">
            <c:ext xmlns:c16="http://schemas.microsoft.com/office/drawing/2014/chart" uri="{C3380CC4-5D6E-409C-BE32-E72D297353CC}">
              <c16:uniqueId val="{00000001-C573-4DDE-9160-DEB4499CE96C}"/>
            </c:ext>
          </c:extLst>
        </c:ser>
        <c:axId val="208127488"/>
        <c:axId val="208408576"/>
      </c:barChart>
      <c:catAx>
        <c:axId val="208127488"/>
        <c:scaling>
          <c:orientation val="minMax"/>
        </c:scaling>
        <c:axPos val="b"/>
        <c:numFmt formatCode="General" sourceLinked="0"/>
        <c:tickLblPos val="nextTo"/>
        <c:txPr>
          <a:bodyPr/>
          <a:lstStyle/>
          <a:p>
            <a:pPr>
              <a:defRPr sz="800"/>
            </a:pPr>
            <a:endParaRPr lang="ru-RU"/>
          </a:p>
        </c:txPr>
        <c:crossAx val="208408576"/>
        <c:crosses val="autoZero"/>
        <c:auto val="1"/>
        <c:lblAlgn val="ctr"/>
        <c:lblOffset val="100"/>
      </c:catAx>
      <c:valAx>
        <c:axId val="208408576"/>
        <c:scaling>
          <c:orientation val="minMax"/>
        </c:scaling>
        <c:axPos val="l"/>
        <c:majorGridlines/>
        <c:numFmt formatCode="General" sourceLinked="1"/>
        <c:tickLblPos val="nextTo"/>
        <c:crossAx val="208127488"/>
        <c:crosses val="autoZero"/>
        <c:crossBetween val="between"/>
      </c:valAx>
    </c:plotArea>
    <c:legend>
      <c:legendPos val="r"/>
    </c:legend>
    <c:plotVisOnly val="1"/>
    <c:dispBlanksAs val="gap"/>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D5F2-5ED4-479E-A5A7-23418FBB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2952</Words>
  <Characters>16827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19740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7</cp:revision>
  <cp:lastPrinted>2021-03-30T07:09:00Z</cp:lastPrinted>
  <dcterms:created xsi:type="dcterms:W3CDTF">2021-12-18T12:22:00Z</dcterms:created>
  <dcterms:modified xsi:type="dcterms:W3CDTF">2021-12-23T07:54:00Z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