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E10" w:rsidRPr="00136E10" w:rsidRDefault="00F5713B" w:rsidP="00136E10">
      <w:pPr>
        <w:widowControl w:val="0"/>
        <w:shd w:val="clear" w:color="auto" w:fill="FFFFFF"/>
        <w:ind w:firstLine="397"/>
        <w:rPr>
          <w:b/>
          <w:bCs/>
        </w:rPr>
      </w:pPr>
      <w:bookmarkStart w:id="0" w:name="_Toc501421219"/>
      <w:bookmarkStart w:id="1" w:name="_Toc499467395"/>
      <w:r w:rsidRPr="00F5713B">
        <w:rPr>
          <w:b/>
          <w:noProof/>
          <w:spacing w:val="-2"/>
          <w:sz w:val="21"/>
          <w:szCs w:val="21"/>
        </w:rPr>
        <w:pict>
          <v:shapetype id="_x0000_t202" coordsize="21600,21600" o:spt="202" path="m,l,21600r21600,l21600,xe">
            <v:stroke joinstyle="miter"/>
            <v:path gradientshapeok="t" o:connecttype="rect"/>
          </v:shapetype>
          <v:shape id="Text Box 3" o:spid="_x0000_s1027" type="#_x0000_t202" style="position:absolute;left:0;text-align:left;margin-left:-1.45pt;margin-top:-15.4pt;width:460.45pt;height:303.15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ssgIAALE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" filled="f" stroked="f">
            <v:textbox inset="0,0,0,0">
              <w:txbxContent>
                <w:p w:rsidR="00136E10" w:rsidRPr="00136E10" w:rsidRDefault="00136E10" w:rsidP="00136E10">
                  <w:pPr>
                    <w:rPr>
                      <w:rFonts w:ascii="Arial" w:hAnsi="Arial" w:cs="Arial"/>
                      <w:b/>
                    </w:rPr>
                  </w:pPr>
                  <w:r w:rsidRPr="00136E10">
                    <w:rPr>
                      <w:rFonts w:ascii="Arial" w:hAnsi="Arial" w:cs="Arial"/>
                      <w:b/>
                    </w:rPr>
                    <w:t>УДК 336.64</w:t>
                  </w:r>
                  <w:r w:rsidRPr="00136E10">
                    <w:rPr>
                      <w:rFonts w:ascii="Arial" w:hAnsi="Arial" w:cs="Arial"/>
                      <w:b/>
                    </w:rPr>
                    <w:tab/>
                  </w:r>
                  <w:r w:rsidRPr="00136E10">
                    <w:rPr>
                      <w:rFonts w:ascii="Arial" w:hAnsi="Arial" w:cs="Arial"/>
                      <w:b/>
                    </w:rPr>
                    <w:tab/>
                  </w:r>
                  <w:r w:rsidRPr="00136E10">
                    <w:rPr>
                      <w:rFonts w:ascii="Arial" w:hAnsi="Arial" w:cs="Arial"/>
                      <w:b/>
                    </w:rPr>
                    <w:tab/>
                  </w:r>
                  <w:r w:rsidRPr="00136E10">
                    <w:rPr>
                      <w:rFonts w:ascii="Arial" w:hAnsi="Arial" w:cs="Arial"/>
                      <w:b/>
                    </w:rPr>
                    <w:tab/>
                  </w:r>
                  <w:r w:rsidRPr="00136E10">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136E10">
                    <w:rPr>
                      <w:rFonts w:ascii="Arial" w:hAnsi="Arial" w:cs="Arial"/>
                      <w:b/>
                      <w:lang w:val="en-US"/>
                    </w:rPr>
                    <w:t>DOI</w:t>
                  </w:r>
                  <w:r w:rsidRPr="00136E10">
                    <w:rPr>
                      <w:rFonts w:ascii="Arial" w:hAnsi="Arial" w:cs="Arial"/>
                      <w:b/>
                    </w:rPr>
                    <w:t>: 10.14529/</w:t>
                  </w:r>
                  <w:proofErr w:type="spellStart"/>
                  <w:r w:rsidRPr="00136E10">
                    <w:rPr>
                      <w:rFonts w:ascii="Arial" w:hAnsi="Arial" w:cs="Arial"/>
                      <w:b/>
                      <w:lang w:val="en-US"/>
                    </w:rPr>
                    <w:t>em</w:t>
                  </w:r>
                  <w:proofErr w:type="spellEnd"/>
                  <w:r w:rsidRPr="00136E10">
                    <w:rPr>
                      <w:rFonts w:ascii="Arial" w:hAnsi="Arial" w:cs="Arial"/>
                      <w:b/>
                    </w:rPr>
                    <w:t>210411</w:t>
                  </w:r>
                </w:p>
                <w:p w:rsidR="00136E10" w:rsidRPr="00136E10" w:rsidRDefault="00136E10" w:rsidP="00136E10">
                  <w:pPr>
                    <w:spacing w:before="120" w:after="120"/>
                    <w:jc w:val="left"/>
                    <w:rPr>
                      <w:rFonts w:ascii="Arial" w:hAnsi="Arial" w:cs="Arial"/>
                      <w:b/>
                      <w:bCs/>
                      <w:sz w:val="28"/>
                      <w:szCs w:val="28"/>
                    </w:rPr>
                  </w:pPr>
                  <w:r w:rsidRPr="00136E10">
                    <w:rPr>
                      <w:rFonts w:ascii="Arial" w:hAnsi="Arial" w:cs="Arial"/>
                      <w:b/>
                      <w:bCs/>
                      <w:sz w:val="28"/>
                      <w:szCs w:val="28"/>
                    </w:rPr>
                    <w:t>ТИПОЛОГИЗАЦИЯ СТРАТЕГИЙ КОРПОРАТИВНОГО РАЗВИТИЯ НА ОСНОВЕ ИНТЕГРАЦИИ И ДИВЕРСИФИКАЦИИ</w:t>
                  </w:r>
                </w:p>
                <w:p w:rsidR="00136E10" w:rsidRPr="00136E10" w:rsidRDefault="00136E10" w:rsidP="00136E10">
                  <w:pPr>
                    <w:spacing w:after="60"/>
                    <w:rPr>
                      <w:rFonts w:ascii="Arial" w:hAnsi="Arial" w:cs="Arial"/>
                      <w:b/>
                      <w:i/>
                      <w:sz w:val="24"/>
                      <w:szCs w:val="28"/>
                    </w:rPr>
                  </w:pPr>
                  <w:r w:rsidRPr="00136E10">
                    <w:rPr>
                      <w:rFonts w:ascii="Arial" w:hAnsi="Arial" w:cs="Arial"/>
                      <w:b/>
                      <w:i/>
                      <w:sz w:val="24"/>
                      <w:szCs w:val="28"/>
                    </w:rPr>
                    <w:t xml:space="preserve">И.И. </w:t>
                  </w:r>
                  <w:proofErr w:type="spellStart"/>
                  <w:r w:rsidRPr="00136E10">
                    <w:rPr>
                      <w:rFonts w:ascii="Arial" w:hAnsi="Arial" w:cs="Arial"/>
                      <w:b/>
                      <w:i/>
                      <w:sz w:val="24"/>
                      <w:szCs w:val="28"/>
                    </w:rPr>
                    <w:t>Просвирина</w:t>
                  </w:r>
                  <w:proofErr w:type="gramStart"/>
                  <w:r w:rsidRPr="00136E10">
                    <w:rPr>
                      <w:rFonts w:ascii="Arial" w:hAnsi="Arial" w:cs="Arial"/>
                      <w:b/>
                      <w:i/>
                      <w:sz w:val="24"/>
                      <w:szCs w:val="28"/>
                      <w:vertAlign w:val="superscript"/>
                    </w:rPr>
                    <w:t>1</w:t>
                  </w:r>
                  <w:proofErr w:type="spellEnd"/>
                  <w:proofErr w:type="gramEnd"/>
                  <w:r w:rsidRPr="00136E10">
                    <w:rPr>
                      <w:rFonts w:ascii="Arial" w:hAnsi="Arial" w:cs="Arial"/>
                      <w:b/>
                      <w:i/>
                      <w:sz w:val="24"/>
                      <w:szCs w:val="28"/>
                    </w:rPr>
                    <w:t xml:space="preserve">, А.В. </w:t>
                  </w:r>
                  <w:proofErr w:type="spellStart"/>
                  <w:r w:rsidRPr="00A67B84">
                    <w:rPr>
                      <w:rFonts w:ascii="Arial" w:hAnsi="Arial" w:cs="Arial"/>
                      <w:b/>
                      <w:i/>
                      <w:sz w:val="24"/>
                      <w:szCs w:val="28"/>
                    </w:rPr>
                    <w:t>Стерхов</w:t>
                  </w:r>
                  <w:r w:rsidR="006C490B" w:rsidRPr="00A67B84">
                    <w:rPr>
                      <w:rFonts w:ascii="Arial" w:hAnsi="Arial" w:cs="Arial"/>
                      <w:b/>
                      <w:i/>
                      <w:sz w:val="24"/>
                      <w:szCs w:val="28"/>
                      <w:vertAlign w:val="superscript"/>
                    </w:rPr>
                    <w:t>1,</w:t>
                  </w:r>
                  <w:r w:rsidRPr="00136E10">
                    <w:rPr>
                      <w:rFonts w:ascii="Arial" w:hAnsi="Arial" w:cs="Arial"/>
                      <w:b/>
                      <w:i/>
                      <w:sz w:val="24"/>
                      <w:szCs w:val="28"/>
                      <w:vertAlign w:val="superscript"/>
                    </w:rPr>
                    <w:t>2</w:t>
                  </w:r>
                  <w:proofErr w:type="spellEnd"/>
                  <w:r w:rsidRPr="00136E10">
                    <w:rPr>
                      <w:rFonts w:ascii="Arial" w:hAnsi="Arial" w:cs="Arial"/>
                      <w:b/>
                      <w:i/>
                      <w:sz w:val="24"/>
                      <w:szCs w:val="28"/>
                    </w:rPr>
                    <w:t xml:space="preserve"> </w:t>
                  </w:r>
                </w:p>
                <w:p w:rsidR="00136E10" w:rsidRPr="00C61960" w:rsidRDefault="00136E10" w:rsidP="00136E10">
                  <w:pPr>
                    <w:jc w:val="left"/>
                    <w:rPr>
                      <w:rFonts w:ascii="Arial" w:hAnsi="Arial" w:cs="Arial"/>
                      <w:i/>
                      <w:sz w:val="22"/>
                      <w:szCs w:val="28"/>
                    </w:rPr>
                  </w:pPr>
                  <w:r w:rsidRPr="00C61960">
                    <w:rPr>
                      <w:rFonts w:ascii="Arial" w:hAnsi="Arial" w:cs="Arial"/>
                      <w:i/>
                      <w:sz w:val="22"/>
                      <w:szCs w:val="28"/>
                      <w:vertAlign w:val="superscript"/>
                    </w:rPr>
                    <w:t xml:space="preserve">1 </w:t>
                  </w:r>
                  <w:r w:rsidRPr="00C61960">
                    <w:rPr>
                      <w:rFonts w:ascii="Arial" w:hAnsi="Arial" w:cs="Arial"/>
                      <w:i/>
                      <w:sz w:val="22"/>
                      <w:szCs w:val="28"/>
                    </w:rPr>
                    <w:t>Южно-Уральский государственный университет, г. Челябинск, Россия</w:t>
                  </w:r>
                </w:p>
                <w:p w:rsidR="00136E10" w:rsidRPr="00C61960" w:rsidRDefault="00136E10" w:rsidP="00136E10">
                  <w:pPr>
                    <w:jc w:val="left"/>
                    <w:rPr>
                      <w:rFonts w:ascii="Arial" w:hAnsi="Arial" w:cs="Arial"/>
                      <w:i/>
                      <w:sz w:val="22"/>
                      <w:szCs w:val="28"/>
                    </w:rPr>
                  </w:pPr>
                  <w:r w:rsidRPr="00C61960">
                    <w:rPr>
                      <w:rFonts w:ascii="Arial" w:hAnsi="Arial" w:cs="Arial"/>
                      <w:i/>
                      <w:sz w:val="22"/>
                      <w:szCs w:val="28"/>
                      <w:vertAlign w:val="superscript"/>
                    </w:rPr>
                    <w:t xml:space="preserve">2 </w:t>
                  </w:r>
                  <w:r w:rsidRPr="00C61960">
                    <w:rPr>
                      <w:rFonts w:ascii="Arial" w:hAnsi="Arial" w:cs="Arial"/>
                      <w:i/>
                      <w:sz w:val="22"/>
                      <w:szCs w:val="28"/>
                    </w:rPr>
                    <w:t xml:space="preserve">Уральский федеральный университет им. Первого Президента России </w:t>
                  </w:r>
                  <w:r w:rsidRPr="00C61960">
                    <w:rPr>
                      <w:rFonts w:ascii="Arial" w:hAnsi="Arial" w:cs="Arial"/>
                      <w:i/>
                      <w:sz w:val="22"/>
                      <w:szCs w:val="28"/>
                    </w:rPr>
                    <w:br/>
                  </w:r>
                  <w:r w:rsidR="00A67B84" w:rsidRPr="00A67B84">
                    <w:rPr>
                      <w:rFonts w:ascii="Arial" w:hAnsi="Arial" w:cs="Arial"/>
                      <w:i/>
                      <w:sz w:val="22"/>
                      <w:szCs w:val="28"/>
                    </w:rPr>
                    <w:t xml:space="preserve"> </w:t>
                  </w:r>
                  <w:r w:rsidRPr="00C61960">
                    <w:rPr>
                      <w:rFonts w:ascii="Arial" w:hAnsi="Arial" w:cs="Arial"/>
                      <w:i/>
                      <w:sz w:val="22"/>
                      <w:szCs w:val="28"/>
                    </w:rPr>
                    <w:t xml:space="preserve"> Б.Н. Ельцина, г. Екатеринбург, Россия</w:t>
                  </w:r>
                </w:p>
                <w:p w:rsidR="00136E10" w:rsidRPr="00136E10" w:rsidRDefault="00136E10" w:rsidP="00136E10">
                  <w:pPr>
                    <w:ind w:left="1134" w:firstLine="397"/>
                    <w:rPr>
                      <w:sz w:val="19"/>
                      <w:szCs w:val="19"/>
                    </w:rPr>
                  </w:pPr>
                </w:p>
                <w:p w:rsidR="00136E10" w:rsidRPr="00C61960" w:rsidRDefault="00136E10" w:rsidP="00136E10">
                  <w:pPr>
                    <w:ind w:left="1134" w:firstLine="397"/>
                    <w:rPr>
                      <w:sz w:val="16"/>
                      <w:szCs w:val="19"/>
                    </w:rPr>
                  </w:pPr>
                </w:p>
                <w:p w:rsidR="00136E10" w:rsidRPr="00136E10" w:rsidRDefault="00136E10" w:rsidP="00136E10">
                  <w:pPr>
                    <w:ind w:left="1134" w:firstLine="397"/>
                    <w:rPr>
                      <w:sz w:val="19"/>
                      <w:szCs w:val="19"/>
                    </w:rPr>
                  </w:pPr>
                  <w:r w:rsidRPr="00136E10">
                    <w:rPr>
                      <w:sz w:val="19"/>
                      <w:szCs w:val="19"/>
                    </w:rPr>
                    <w:t>Важность принятия правильных стратегических решений о развитии бизнеса в настоящее время приобрела всеобщий характер как для российских, так и зарубежных компаний. При этом растет уровень неопределенности в отношении факторов, которые определяют параметры напра</w:t>
                  </w:r>
                  <w:r w:rsidRPr="00136E10">
                    <w:rPr>
                      <w:sz w:val="19"/>
                      <w:szCs w:val="19"/>
                    </w:rPr>
                    <w:t>в</w:t>
                  </w:r>
                  <w:r w:rsidRPr="00136E10">
                    <w:rPr>
                      <w:sz w:val="19"/>
                      <w:szCs w:val="19"/>
                    </w:rPr>
                    <w:t>лений развития. В такой ситуации роль моделей, с помощью которых можно обосновать выбор стратегий, серьезно повышается. В данной статье представлена авторская типология стратегий как основа для построения таких моделей на следующих этапах исследования. Эмпирическая база и</w:t>
                  </w:r>
                  <w:r w:rsidRPr="00136E10">
                    <w:rPr>
                      <w:sz w:val="19"/>
                      <w:szCs w:val="19"/>
                    </w:rPr>
                    <w:t>с</w:t>
                  </w:r>
                  <w:r w:rsidRPr="00136E10">
                    <w:rPr>
                      <w:sz w:val="19"/>
                      <w:szCs w:val="19"/>
                    </w:rPr>
                    <w:t xml:space="preserve">следования включает данные о 2904 сделках слияний и поглощений, произошедших за период с 1999 по 2019 годы в электроэнергетической отрасли. Предложен авторский метод типологизации стратегий интеграции и диверсификации на основе анализа отраслевой принадлежности компаний с использованием индекса </w:t>
                  </w:r>
                  <w:r w:rsidRPr="00136E10">
                    <w:rPr>
                      <w:sz w:val="19"/>
                      <w:szCs w:val="19"/>
                      <w:lang w:val="en-US"/>
                    </w:rPr>
                    <w:t>NAICS</w:t>
                  </w:r>
                  <w:r w:rsidRPr="00136E10">
                    <w:rPr>
                      <w:sz w:val="19"/>
                      <w:szCs w:val="19"/>
                    </w:rPr>
                    <w:t xml:space="preserve"> 2017. Практическая значимость исследования состоит в во</w:t>
                  </w:r>
                  <w:r w:rsidRPr="00136E10">
                    <w:rPr>
                      <w:sz w:val="19"/>
                      <w:szCs w:val="19"/>
                    </w:rPr>
                    <w:t>з</w:t>
                  </w:r>
                  <w:r w:rsidRPr="00136E10">
                    <w:rPr>
                      <w:sz w:val="19"/>
                      <w:szCs w:val="19"/>
                    </w:rPr>
                    <w:t>можности использования типа стратегии как фактора, оказывающего влияние на выбор корпор</w:t>
                  </w:r>
                  <w:r w:rsidRPr="00136E10">
                    <w:rPr>
                      <w:sz w:val="19"/>
                      <w:szCs w:val="19"/>
                    </w:rPr>
                    <w:t>а</w:t>
                  </w:r>
                  <w:r w:rsidRPr="00136E10">
                    <w:rPr>
                      <w:sz w:val="19"/>
                      <w:szCs w:val="19"/>
                    </w:rPr>
                    <w:t>тивных стратегий путем прогнозирования параметров сделок слияний и поглощений.</w:t>
                  </w:r>
                </w:p>
                <w:p w:rsidR="00136E10" w:rsidRPr="00136E10" w:rsidRDefault="00136E10" w:rsidP="00136E10">
                  <w:pPr>
                    <w:ind w:left="1134" w:firstLine="397"/>
                    <w:rPr>
                      <w:sz w:val="19"/>
                      <w:szCs w:val="19"/>
                    </w:rPr>
                  </w:pPr>
                  <w:r w:rsidRPr="00136E10">
                    <w:rPr>
                      <w:b/>
                      <w:bCs/>
                      <w:sz w:val="19"/>
                      <w:szCs w:val="19"/>
                    </w:rPr>
                    <w:t>Ключевые слова:</w:t>
                  </w:r>
                  <w:r w:rsidRPr="00136E10">
                    <w:rPr>
                      <w:sz w:val="19"/>
                      <w:szCs w:val="19"/>
                    </w:rPr>
                    <w:t xml:space="preserve"> корпоративные стратегии, направления стратегического развития орган</w:t>
                  </w:r>
                  <w:r w:rsidRPr="00136E10">
                    <w:rPr>
                      <w:sz w:val="19"/>
                      <w:szCs w:val="19"/>
                    </w:rPr>
                    <w:t>и</w:t>
                  </w:r>
                  <w:r w:rsidRPr="00136E10">
                    <w:rPr>
                      <w:sz w:val="19"/>
                      <w:szCs w:val="19"/>
                    </w:rPr>
                    <w:t xml:space="preserve">заций, диверсификация и интеграция, сделки слияния и поглощения. </w:t>
                  </w:r>
                </w:p>
                <w:p w:rsidR="004238B0" w:rsidRPr="009A73BE" w:rsidRDefault="004238B0" w:rsidP="00171D17">
                  <w:pPr>
                    <w:ind w:left="1134"/>
                    <w:rPr>
                      <w:sz w:val="19"/>
                      <w:szCs w:val="19"/>
                    </w:rPr>
                  </w:pPr>
                </w:p>
                <w:p w:rsidR="004238B0" w:rsidRPr="000220F2" w:rsidRDefault="004238B0" w:rsidP="000220F2">
                  <w:pPr>
                    <w:ind w:left="1134" w:firstLine="397"/>
                    <w:rPr>
                      <w:i/>
                      <w:color w:val="000000"/>
                      <w:sz w:val="19"/>
                      <w:szCs w:val="19"/>
                    </w:rPr>
                  </w:pPr>
                </w:p>
                <w:p w:rsidR="004238B0" w:rsidRDefault="004238B0" w:rsidP="00D47402">
                  <w:pPr>
                    <w:ind w:left="1134" w:firstLine="397"/>
                    <w:rPr>
                      <w:sz w:val="19"/>
                      <w:szCs w:val="19"/>
                    </w:rPr>
                  </w:pPr>
                </w:p>
                <w:p w:rsidR="004238B0" w:rsidRDefault="004238B0" w:rsidP="004B7FC0">
                  <w:pPr>
                    <w:ind w:left="1134" w:firstLine="397"/>
                  </w:pPr>
                </w:p>
                <w:p w:rsidR="004238B0" w:rsidRPr="00D34DB1" w:rsidRDefault="004238B0" w:rsidP="004B7FC0">
                  <w:pPr>
                    <w:ind w:left="1134" w:firstLine="397"/>
                  </w:pPr>
                </w:p>
              </w:txbxContent>
            </v:textbox>
            <w10:wrap type="topAndBottom" anchorx="margin" anchory="margin"/>
          </v:shape>
        </w:pict>
      </w:r>
      <w:bookmarkEnd w:id="0"/>
      <w:bookmarkEnd w:id="1"/>
      <w:r w:rsidR="00136E10" w:rsidRPr="00136E10">
        <w:rPr>
          <w:b/>
          <w:bCs/>
        </w:rPr>
        <w:t>Введение</w:t>
      </w:r>
    </w:p>
    <w:p w:rsidR="00136E10" w:rsidRPr="00136E10" w:rsidRDefault="00136E10" w:rsidP="00136E10">
      <w:pPr>
        <w:ind w:firstLine="397"/>
      </w:pPr>
      <w:r w:rsidRPr="00136E10">
        <w:t>В целях проведенного авторами исследования построение типологии стратегий корпоративного развития рассматривалось как необходимый этап для решения задачи построения механизма фо</w:t>
      </w:r>
      <w:r w:rsidRPr="00136E10">
        <w:t>р</w:t>
      </w:r>
      <w:r w:rsidRPr="00136E10">
        <w:t xml:space="preserve">мирования стратегий, реализуемых в виде сделок слияний и поглощений. </w:t>
      </w:r>
    </w:p>
    <w:p w:rsidR="00136E10" w:rsidRPr="00136E10" w:rsidRDefault="00136E10" w:rsidP="00136E10">
      <w:pPr>
        <w:ind w:firstLine="397"/>
      </w:pPr>
      <w:r w:rsidRPr="00136E10">
        <w:t>Основой для разработки типологии стратегий послужило исследование подходов к определению понятия стратегии и имеющихся классификаций направлений корпоративного развития. В наиболее общем виде стратегия понимается как «искусство планирования какой-либо деятельности и руков</w:t>
      </w:r>
      <w:r w:rsidRPr="00136E10">
        <w:t>о</w:t>
      </w:r>
      <w:r w:rsidRPr="00136E10">
        <w:t>дства ею, основанные на точных прогнозах» [1]. Данное определение указывает на два основных элемента стратегии: планирование и управление (руководство). Кроме того, отдельное внимание уделяется необходимости прогнозирования р</w:t>
      </w:r>
      <w:r w:rsidRPr="00136E10">
        <w:t>е</w:t>
      </w:r>
      <w:r w:rsidRPr="00136E10">
        <w:t>зультата реализации стратегии. Р. Грант конкрет</w:t>
      </w:r>
      <w:r w:rsidRPr="00136E10">
        <w:t>и</w:t>
      </w:r>
      <w:r w:rsidRPr="00136E10">
        <w:t>зировал определение стратегии применительно к сфере бизнеса и указал на то, что стратегия явл</w:t>
      </w:r>
      <w:r w:rsidRPr="00136E10">
        <w:t>я</w:t>
      </w:r>
      <w:r w:rsidRPr="00136E10">
        <w:t>ется преднамеренным поиском плана действий, а также обратил внимание, что ключевой целью реализации стратегии является развитие конк</w:t>
      </w:r>
      <w:r w:rsidRPr="00136E10">
        <w:t>у</w:t>
      </w:r>
      <w:r w:rsidRPr="00136E10">
        <w:t>рентного преимущества компании [2, с. 32]. Ряд авторов, в частности, О.В. Кузьменко и Д.С.</w:t>
      </w:r>
      <w:r>
        <w:t xml:space="preserve"> </w:t>
      </w:r>
      <w:r w:rsidRPr="00136E10">
        <w:t>Че</w:t>
      </w:r>
      <w:r w:rsidRPr="00136E10">
        <w:t>р</w:t>
      </w:r>
      <w:r w:rsidRPr="00136E10">
        <w:t>нышов [3], подчеркивают тот факт, что стратегия должна относиться ко всем сферам и направлен</w:t>
      </w:r>
      <w:r w:rsidRPr="00136E10">
        <w:t>и</w:t>
      </w:r>
      <w:r w:rsidRPr="00136E10">
        <w:t>ям деятельности компании: «стратегией следует считать систему элементов управления… с целью выработки и принятия экономически эффективн</w:t>
      </w:r>
      <w:r w:rsidRPr="00136E10">
        <w:t>о</w:t>
      </w:r>
      <w:r w:rsidRPr="00136E10">
        <w:t xml:space="preserve">го решения с позиции достижения стратегических целей и поддержания конкурентных преимуществ в долгосрочной перспективе». </w:t>
      </w:r>
    </w:p>
    <w:p w:rsidR="00136E10" w:rsidRPr="00136E10" w:rsidRDefault="00136E10" w:rsidP="00136E10">
      <w:pPr>
        <w:ind w:firstLine="397"/>
      </w:pPr>
      <w:r w:rsidRPr="00136E10">
        <w:t>Свиридова С.В. [4] указывает, что стратегия является долгосрочным, детально разработанным планом, охватывающим все направления хозяйс</w:t>
      </w:r>
      <w:r w:rsidRPr="00136E10">
        <w:t>т</w:t>
      </w:r>
      <w:r w:rsidRPr="00136E10">
        <w:t xml:space="preserve">венной деятельности, </w:t>
      </w:r>
      <w:r w:rsidRPr="00A67B84">
        <w:t>нацеленн</w:t>
      </w:r>
      <w:r w:rsidR="00DE62AF" w:rsidRPr="00A67B84">
        <w:t>ым</w:t>
      </w:r>
      <w:r w:rsidRPr="00A67B84">
        <w:t xml:space="preserve"> на достижение основных целей и задач предприятия, также пок</w:t>
      </w:r>
      <w:r w:rsidRPr="00A67B84">
        <w:t>а</w:t>
      </w:r>
      <w:r w:rsidRPr="00A67B84">
        <w:t>зывающ</w:t>
      </w:r>
      <w:r w:rsidR="00DE62AF" w:rsidRPr="00A67B84">
        <w:t>им</w:t>
      </w:r>
      <w:r w:rsidRPr="00A67B84">
        <w:t xml:space="preserve"> общее направление</w:t>
      </w:r>
      <w:r w:rsidRPr="00136E10">
        <w:t xml:space="preserve"> развития организ</w:t>
      </w:r>
      <w:r w:rsidRPr="00136E10">
        <w:t>а</w:t>
      </w:r>
      <w:r w:rsidRPr="00136E10">
        <w:t>ции, ее методы конкуренции и позиции в окр</w:t>
      </w:r>
      <w:r w:rsidRPr="00136E10">
        <w:t>у</w:t>
      </w:r>
      <w:r w:rsidRPr="00136E10">
        <w:t>жающей среде. Представляется, что данное опр</w:t>
      </w:r>
      <w:r w:rsidRPr="00136E10">
        <w:t>е</w:t>
      </w:r>
      <w:r w:rsidRPr="00136E10">
        <w:t>деление охватывает все основные составляющие стратегии. В дальнейшим в рамках данной статьи будет использоваться данное определение страт</w:t>
      </w:r>
      <w:r w:rsidRPr="00136E10">
        <w:t>е</w:t>
      </w:r>
      <w:r w:rsidRPr="00136E10">
        <w:t>гии. Такое понимание отвечает целям настоящего исследования, в котором существенно детализир</w:t>
      </w:r>
      <w:r w:rsidRPr="00136E10">
        <w:t>у</w:t>
      </w:r>
      <w:r w:rsidRPr="00136E10">
        <w:t>ется имеющаяся классификация стратегий разв</w:t>
      </w:r>
      <w:r w:rsidRPr="00136E10">
        <w:t>и</w:t>
      </w:r>
      <w:r w:rsidRPr="00136E10">
        <w:t>тия. По мнению авторов, детализация необходима для построения механизма управления выбором стратегий и прогнозирования стратегических р</w:t>
      </w:r>
      <w:r w:rsidRPr="00136E10">
        <w:t>е</w:t>
      </w:r>
      <w:r w:rsidRPr="00136E10">
        <w:t>шений.</w:t>
      </w:r>
    </w:p>
    <w:p w:rsidR="00136E10" w:rsidRPr="00136E10" w:rsidRDefault="00136E10" w:rsidP="00136E10">
      <w:pPr>
        <w:ind w:firstLine="397"/>
      </w:pPr>
      <w:r w:rsidRPr="00136E10">
        <w:t>Майкл Портер отмечает, что наиболее выс</w:t>
      </w:r>
      <w:r w:rsidRPr="00136E10">
        <w:t>о</w:t>
      </w:r>
      <w:r w:rsidRPr="00136E10">
        <w:t>ким уровнем является корпоративная стратегия, которая относится ко всей компании, а подчине</w:t>
      </w:r>
      <w:r w:rsidRPr="00136E10">
        <w:t>н</w:t>
      </w:r>
      <w:r w:rsidRPr="00136E10">
        <w:t>ный по отношению к ней уровень занимает страт</w:t>
      </w:r>
      <w:r w:rsidRPr="00136E10">
        <w:t>е</w:t>
      </w:r>
      <w:r w:rsidRPr="00136E10">
        <w:t>гия бизнес-единиц [5, с. 157]. С подобным соо</w:t>
      </w:r>
      <w:r w:rsidRPr="00136E10">
        <w:t>т</w:t>
      </w:r>
      <w:r w:rsidRPr="00136E10">
        <w:t>ношением корпоративной стратегии и стратегии бизнес-единицы соглашается К. Кристенсен [6, с.</w:t>
      </w:r>
      <w:r>
        <w:t> </w:t>
      </w:r>
      <w:r w:rsidRPr="00136E10">
        <w:t>66]. В целях данного исследования анализир</w:t>
      </w:r>
      <w:r w:rsidRPr="00136E10">
        <w:t>у</w:t>
      </w:r>
      <w:r w:rsidRPr="00136E10">
        <w:t>ются корпоративные стратегии как результат р</w:t>
      </w:r>
      <w:r w:rsidRPr="00136E10">
        <w:t>е</w:t>
      </w:r>
      <w:r w:rsidRPr="00136E10">
        <w:t>шения собственников относительно направлений развития их бизнеса.</w:t>
      </w:r>
    </w:p>
    <w:p w:rsidR="00136E10" w:rsidRPr="00136E10" w:rsidRDefault="00136E10" w:rsidP="00136E10">
      <w:pPr>
        <w:ind w:firstLine="397"/>
      </w:pPr>
      <w:r w:rsidRPr="00136E10">
        <w:t xml:space="preserve">Поскольку стратегия развития организации касается всех ее подразделений, а также всех ее рынков, во многих случаях стратегия предполагает изменение масштабов деятельности компании. Классификация методов реализации стратегии в </w:t>
      </w:r>
      <w:r w:rsidRPr="00136E10">
        <w:lastRenderedPageBreak/>
        <w:t>зависимости от характера изменения масштабов деятельности была составлена К. Кристенсеном [6, с. 68–69]. Многие из упоминаемых автором стр</w:t>
      </w:r>
      <w:r w:rsidRPr="00136E10">
        <w:t>а</w:t>
      </w:r>
      <w:r w:rsidRPr="00136E10">
        <w:t xml:space="preserve">тегий предполагают необходимость использования сделок слияний и поглощений как необходимых для реализации стратегий инструментов. </w:t>
      </w:r>
    </w:p>
    <w:p w:rsidR="00136E10" w:rsidRPr="00136E10" w:rsidRDefault="00136E10" w:rsidP="00136E10">
      <w:pPr>
        <w:ind w:firstLine="397"/>
      </w:pPr>
      <w:r w:rsidRPr="00136E10">
        <w:t>Таким образом, слияния и поглощения явл</w:t>
      </w:r>
      <w:r w:rsidRPr="00136E10">
        <w:t>я</w:t>
      </w:r>
      <w:r w:rsidRPr="00136E10">
        <w:t>ется необходимым инструментом для реализации стратегий корпоративного развития (как расшир</w:t>
      </w:r>
      <w:r w:rsidRPr="00136E10">
        <w:t>е</w:t>
      </w:r>
      <w:r w:rsidRPr="00136E10">
        <w:t>ния, так и сокращения масштабов деятельности). Существенное различие состоит в том, выступает ли рассматриваемая компания в качестве объекта сделки слияния и поглощения (</w:t>
      </w:r>
      <w:r w:rsidRPr="00136E10">
        <w:rPr>
          <w:lang w:val="en-US"/>
        </w:rPr>
        <w:t>target</w:t>
      </w:r>
      <w:r w:rsidRPr="00136E10">
        <w:t xml:space="preserve"> </w:t>
      </w:r>
      <w:r w:rsidRPr="00136E10">
        <w:rPr>
          <w:lang w:val="en-US"/>
        </w:rPr>
        <w:t>company</w:t>
      </w:r>
      <w:r w:rsidRPr="00136E10">
        <w:t>) или в качестве инициатора сделки слияния и поглощ</w:t>
      </w:r>
      <w:r w:rsidRPr="00136E10">
        <w:t>е</w:t>
      </w:r>
      <w:r w:rsidRPr="00136E10">
        <w:t>ния (</w:t>
      </w:r>
      <w:r w:rsidRPr="00136E10">
        <w:rPr>
          <w:lang w:val="en-US"/>
        </w:rPr>
        <w:t>acquiror</w:t>
      </w:r>
      <w:r w:rsidRPr="00136E10">
        <w:t xml:space="preserve"> </w:t>
      </w:r>
      <w:r w:rsidRPr="00136E10">
        <w:rPr>
          <w:lang w:val="en-US"/>
        </w:rPr>
        <w:t>company</w:t>
      </w:r>
      <w:r w:rsidRPr="00136E10">
        <w:t>). Таким образом, нами сформулировано первое требование к разрабат</w:t>
      </w:r>
      <w:r w:rsidRPr="00136E10">
        <w:t>ы</w:t>
      </w:r>
      <w:r w:rsidRPr="00136E10">
        <w:t>ваемой типологии сделок слияний и поглощений: она должна включать в себя оба вида указанных стратегий.</w:t>
      </w:r>
    </w:p>
    <w:p w:rsidR="00136E10" w:rsidRPr="00136E10" w:rsidRDefault="00136E10" w:rsidP="00136E10">
      <w:pPr>
        <w:ind w:firstLine="397"/>
      </w:pPr>
      <w:r w:rsidRPr="00136E10">
        <w:t>Корпоративная стратегия может реализов</w:t>
      </w:r>
      <w:r w:rsidRPr="00136E10">
        <w:t>ы</w:t>
      </w:r>
      <w:r w:rsidRPr="00136E10">
        <w:t>ваться путем интеграции или диверсификации. Так, Грант Р.М. выделяет следующие виды верт</w:t>
      </w:r>
      <w:r w:rsidRPr="00136E10">
        <w:t>и</w:t>
      </w:r>
      <w:r w:rsidRPr="00136E10">
        <w:t>кальной интеграции: интеграция вниз (контроль над производством ресурсов, необходимых для осуществления деятельности) и интеграция вниз (контроль над покупателями своей продукции) [2, с. 386]. Кроме того, он выделяет полную или ча</w:t>
      </w:r>
      <w:r w:rsidRPr="00136E10">
        <w:t>с</w:t>
      </w:r>
      <w:r w:rsidRPr="00136E10">
        <w:t>тичную интеграцию (в зависимости от того, какой объем продукции поставляется или продается ко</w:t>
      </w:r>
      <w:r w:rsidRPr="00136E10">
        <w:t>н</w:t>
      </w:r>
      <w:r w:rsidRPr="00136E10">
        <w:t>тролируемым компаниям). Автор отмечает, что слияния и поглощения являются одним из спос</w:t>
      </w:r>
      <w:r w:rsidRPr="00136E10">
        <w:t>о</w:t>
      </w:r>
      <w:r w:rsidRPr="00136E10">
        <w:t>бом реализации стратегии интеграции, характер</w:t>
      </w:r>
      <w:r w:rsidRPr="00136E10">
        <w:t>и</w:t>
      </w:r>
      <w:r w:rsidRPr="00136E10">
        <w:t>зующимся наибольшим уровнем взаимных обяз</w:t>
      </w:r>
      <w:r w:rsidRPr="00136E10">
        <w:t>а</w:t>
      </w:r>
      <w:r w:rsidRPr="00136E10">
        <w:t>тельств между сторонами сделки. Стратегия д</w:t>
      </w:r>
      <w:r w:rsidRPr="00136E10">
        <w:t>и</w:t>
      </w:r>
      <w:r w:rsidRPr="00136E10">
        <w:t xml:space="preserve">версификации предполагает рост географического, продуктового или территориального охвата [2, </w:t>
      </w:r>
      <w:r>
        <w:br/>
      </w:r>
      <w:r w:rsidRPr="00136E10">
        <w:t>с. 439]. На этой основе далее предлагается выд</w:t>
      </w:r>
      <w:r w:rsidRPr="00136E10">
        <w:t>е</w:t>
      </w:r>
      <w:r w:rsidRPr="00136E10">
        <w:t>лять связанную (включающую в себя центрир</w:t>
      </w:r>
      <w:r w:rsidRPr="00136E10">
        <w:t>о</w:t>
      </w:r>
      <w:r w:rsidRPr="00136E10">
        <w:t>ванную и горизонтальную) и несвязанную (</w:t>
      </w:r>
      <w:proofErr w:type="spellStart"/>
      <w:r w:rsidRPr="00136E10">
        <w:t>кон</w:t>
      </w:r>
      <w:r w:rsidRPr="00136E10">
        <w:t>г</w:t>
      </w:r>
      <w:r w:rsidRPr="00136E10">
        <w:t>ломеративную</w:t>
      </w:r>
      <w:proofErr w:type="spellEnd"/>
      <w:r w:rsidRPr="00136E10">
        <w:t>) диверсификацию [7]. Таким обр</w:t>
      </w:r>
      <w:r w:rsidRPr="00136E10">
        <w:t>а</w:t>
      </w:r>
      <w:r w:rsidRPr="00136E10">
        <w:t>зом, второе требование к разрабатываемой тип</w:t>
      </w:r>
      <w:r w:rsidRPr="00136E10">
        <w:t>о</w:t>
      </w:r>
      <w:r w:rsidRPr="00136E10">
        <w:t xml:space="preserve">логизации стратегий – учет всех возможностей развития бизнеса как в процессах интеграции, так и в процессах диверсификации. </w:t>
      </w:r>
    </w:p>
    <w:p w:rsidR="00136E10" w:rsidRPr="00136E10" w:rsidRDefault="00136E10" w:rsidP="00136E10">
      <w:pPr>
        <w:ind w:firstLine="397"/>
      </w:pPr>
      <w:r w:rsidRPr="00136E10">
        <w:t>К вопросам классификации стратегий корп</w:t>
      </w:r>
      <w:r w:rsidRPr="00136E10">
        <w:t>о</w:t>
      </w:r>
      <w:r w:rsidRPr="00136E10">
        <w:t>ративного развития обращались также другие а</w:t>
      </w:r>
      <w:r w:rsidRPr="00136E10">
        <w:t>в</w:t>
      </w:r>
      <w:r w:rsidRPr="00136E10">
        <w:t xml:space="preserve">торы, в частности, </w:t>
      </w:r>
      <w:r w:rsidRPr="00136E10">
        <w:rPr>
          <w:lang w:val="en-US"/>
        </w:rPr>
        <w:t>Liu</w:t>
      </w:r>
      <w:r w:rsidRPr="00136E10">
        <w:t xml:space="preserve"> [8], </w:t>
      </w:r>
      <w:r w:rsidRPr="00136E10">
        <w:rPr>
          <w:lang w:val="en-US"/>
        </w:rPr>
        <w:t>Zaheer</w:t>
      </w:r>
      <w:r w:rsidRPr="00136E10">
        <w:t xml:space="preserve"> [9], </w:t>
      </w:r>
      <w:r w:rsidRPr="00136E10">
        <w:rPr>
          <w:lang w:val="en-US"/>
        </w:rPr>
        <w:t>Angwin</w:t>
      </w:r>
      <w:r w:rsidRPr="00136E10">
        <w:t xml:space="preserve"> [10], </w:t>
      </w:r>
      <w:proofErr w:type="spellStart"/>
      <w:r w:rsidRPr="00136E10">
        <w:t>Chakrabarti</w:t>
      </w:r>
      <w:proofErr w:type="spellEnd"/>
      <w:r w:rsidRPr="00136E10">
        <w:t xml:space="preserve"> [11], каждый из них развивает класс</w:t>
      </w:r>
      <w:r w:rsidRPr="00136E10">
        <w:t>и</w:t>
      </w:r>
      <w:r w:rsidRPr="00136E10">
        <w:t>ческие представления о типах стратегий интегр</w:t>
      </w:r>
      <w:r w:rsidRPr="00136E10">
        <w:t>а</w:t>
      </w:r>
      <w:r w:rsidRPr="00136E10">
        <w:t>ции и диверсификации, предлагая их различные интерпретации.</w:t>
      </w:r>
    </w:p>
    <w:p w:rsidR="00136E10" w:rsidRPr="00136E10" w:rsidRDefault="00136E10" w:rsidP="00136E10">
      <w:pPr>
        <w:ind w:firstLine="397"/>
      </w:pPr>
      <w:r w:rsidRPr="00136E10">
        <w:t>Подводя итог обзору литературы, следует о</w:t>
      </w:r>
      <w:r w:rsidRPr="00136E10">
        <w:t>т</w:t>
      </w:r>
      <w:r w:rsidRPr="00136E10">
        <w:t>метить значительное число работ, посвященных типологизации стратегий компаний как в росси</w:t>
      </w:r>
      <w:r w:rsidRPr="00136E10">
        <w:t>й</w:t>
      </w:r>
      <w:r w:rsidRPr="00136E10">
        <w:t>ской, так и в зарубежной научной литературе. О</w:t>
      </w:r>
      <w:r w:rsidRPr="00136E10">
        <w:t>д</w:t>
      </w:r>
      <w:r w:rsidRPr="00136E10">
        <w:t>нако при анализе имеющихся исследований не удалось найти работ, во-первых, учитывающих границы и структуру отрасли при выборе страт</w:t>
      </w:r>
      <w:r w:rsidRPr="00136E10">
        <w:t>е</w:t>
      </w:r>
      <w:r w:rsidRPr="00136E10">
        <w:t xml:space="preserve">гии интеграции или диверсификации, во-вторых, </w:t>
      </w:r>
      <w:r w:rsidRPr="00136E10">
        <w:lastRenderedPageBreak/>
        <w:t>объективно подтверждающих выделение страт</w:t>
      </w:r>
      <w:r w:rsidRPr="00136E10">
        <w:t>е</w:t>
      </w:r>
      <w:r w:rsidRPr="00136E10">
        <w:t>гий эмпирическими данными. Целью настоящего исследования является разработка типологии стр</w:t>
      </w:r>
      <w:r w:rsidRPr="00136E10">
        <w:t>а</w:t>
      </w:r>
      <w:r w:rsidRPr="00136E10">
        <w:t xml:space="preserve">тегий корпоративного развития, базирующаяся на объективных количественных методах. </w:t>
      </w:r>
    </w:p>
    <w:p w:rsidR="00136E10" w:rsidRPr="00136E10" w:rsidRDefault="00136E10" w:rsidP="00136E10">
      <w:pPr>
        <w:ind w:firstLine="397"/>
        <w:rPr>
          <w:b/>
          <w:bCs/>
        </w:rPr>
      </w:pPr>
      <w:r w:rsidRPr="00136E10">
        <w:rPr>
          <w:b/>
          <w:bCs/>
        </w:rPr>
        <w:t>Теория и методология</w:t>
      </w:r>
    </w:p>
    <w:p w:rsidR="00136E10" w:rsidRPr="00136E10" w:rsidRDefault="00136E10" w:rsidP="00136E10">
      <w:pPr>
        <w:ind w:firstLine="397"/>
      </w:pPr>
      <w:r w:rsidRPr="00136E10">
        <w:t>В основу построения типологии стратегий корпоративного развития на основе интеграции и диверсификации, осуществляемых в виде сделок слияния и поглощения (далее – типологизация), положен следующий алгоритм:</w:t>
      </w:r>
    </w:p>
    <w:p w:rsidR="00136E10" w:rsidRPr="00136E10" w:rsidRDefault="00136E10" w:rsidP="00136E10">
      <w:pPr>
        <w:ind w:firstLine="397"/>
      </w:pPr>
      <w:r w:rsidRPr="00136E10">
        <w:t>1) выбор отрасли, на примере которой будет отрабатываться механизм моделирования выбора стратегии развития. Это связано с тем, что соде</w:t>
      </w:r>
      <w:r w:rsidRPr="00136E10">
        <w:t>р</w:t>
      </w:r>
      <w:r w:rsidRPr="00136E10">
        <w:t>жание стратегий развития путем интеграции и д</w:t>
      </w:r>
      <w:r w:rsidRPr="00136E10">
        <w:t>и</w:t>
      </w:r>
      <w:r w:rsidRPr="00136E10">
        <w:t>версификации фундаментально привязаны к о</w:t>
      </w:r>
      <w:r w:rsidRPr="00136E10">
        <w:t>т</w:t>
      </w:r>
      <w:r w:rsidRPr="00136E10">
        <w:t>расли: с выходом за пределы отрасли или сохран</w:t>
      </w:r>
      <w:r w:rsidRPr="00136E10">
        <w:t>е</w:t>
      </w:r>
      <w:r w:rsidRPr="00136E10">
        <w:t>нием бизнеса в рамках прежней отрасли;</w:t>
      </w:r>
    </w:p>
    <w:p w:rsidR="00136E10" w:rsidRPr="00136E10" w:rsidRDefault="00136E10" w:rsidP="00136E10">
      <w:pPr>
        <w:ind w:firstLine="397"/>
      </w:pPr>
      <w:r w:rsidRPr="00136E10">
        <w:t>2) анализ структуры выбранной отрасли с ц</w:t>
      </w:r>
      <w:r w:rsidRPr="00136E10">
        <w:t>е</w:t>
      </w:r>
      <w:r w:rsidRPr="00136E10">
        <w:t>лью определения основных групп отраслей, кот</w:t>
      </w:r>
      <w:r w:rsidRPr="00136E10">
        <w:t>о</w:t>
      </w:r>
      <w:r w:rsidRPr="00136E10">
        <w:t>рые будут положены в основу типов интеграции и диверсификации;</w:t>
      </w:r>
    </w:p>
    <w:p w:rsidR="00136E10" w:rsidRPr="00136E10" w:rsidRDefault="00136E10" w:rsidP="00136E10">
      <w:pPr>
        <w:ind w:firstLine="397"/>
      </w:pPr>
      <w:r w:rsidRPr="00136E10">
        <w:t>3) классификация стратегий, в которых оба участника сделки относятся к выбранной отрасли;</w:t>
      </w:r>
    </w:p>
    <w:p w:rsidR="00136E10" w:rsidRPr="00136E10" w:rsidRDefault="00136E10" w:rsidP="00136E10">
      <w:pPr>
        <w:ind w:firstLine="397"/>
      </w:pPr>
      <w:r w:rsidRPr="00136E10">
        <w:t>4) классификация стратегий, в которых хотя бы один из участников сделки не относится к в</w:t>
      </w:r>
      <w:r w:rsidRPr="00136E10">
        <w:t>ы</w:t>
      </w:r>
      <w:r w:rsidRPr="00136E10">
        <w:t>бранной отрасли;</w:t>
      </w:r>
    </w:p>
    <w:p w:rsidR="00136E10" w:rsidRPr="00136E10" w:rsidRDefault="00136E10" w:rsidP="00136E10">
      <w:pPr>
        <w:ind w:firstLine="397"/>
      </w:pPr>
      <w:r w:rsidRPr="00136E10">
        <w:t>5) построение типологии стратегий;</w:t>
      </w:r>
    </w:p>
    <w:p w:rsidR="00136E10" w:rsidRPr="00136E10" w:rsidRDefault="00136E10" w:rsidP="00136E10">
      <w:pPr>
        <w:ind w:firstLine="397"/>
      </w:pPr>
      <w:r w:rsidRPr="00136E10">
        <w:t>6) проверка типологии на эмпирических да</w:t>
      </w:r>
      <w:r w:rsidRPr="00136E10">
        <w:t>н</w:t>
      </w:r>
      <w:r w:rsidRPr="00136E10">
        <w:t>ных.</w:t>
      </w:r>
    </w:p>
    <w:p w:rsidR="00136E10" w:rsidRPr="00136E10" w:rsidRDefault="00136E10" w:rsidP="00136E10">
      <w:pPr>
        <w:ind w:firstLine="397"/>
      </w:pPr>
      <w:r w:rsidRPr="00136E10">
        <w:t>Выбор отрасли на первом этапе исследования проведен на основе системы классификация о</w:t>
      </w:r>
      <w:r w:rsidRPr="00136E10">
        <w:t>т</w:t>
      </w:r>
      <w:r w:rsidRPr="00136E10">
        <w:t xml:space="preserve">раслей </w:t>
      </w:r>
      <w:r w:rsidRPr="00136E10">
        <w:rPr>
          <w:lang w:val="en-US"/>
        </w:rPr>
        <w:t>NAICS</w:t>
      </w:r>
      <w:r w:rsidRPr="00136E10">
        <w:t xml:space="preserve"> 2017 </w:t>
      </w:r>
      <w:r w:rsidRPr="00136E10">
        <w:rPr>
          <w:rStyle w:val="af8"/>
          <w:vertAlign w:val="baseline"/>
        </w:rPr>
        <w:t>[12]</w:t>
      </w:r>
      <w:r w:rsidRPr="00136E10">
        <w:t>, в которой первые две цифры означают минимальный уровень детализ</w:t>
      </w:r>
      <w:r w:rsidRPr="00136E10">
        <w:t>а</w:t>
      </w:r>
      <w:r w:rsidRPr="00136E10">
        <w:t>ции отрасли (например, 22 – Производство и ра</w:t>
      </w:r>
      <w:r w:rsidRPr="00136E10">
        <w:t>с</w:t>
      </w:r>
      <w:r w:rsidRPr="00136E10">
        <w:t>пределение электроэнергии, газа и воды), а все шесть цифр означают обозначение отрасли в ма</w:t>
      </w:r>
      <w:r w:rsidRPr="00136E10">
        <w:t>к</w:t>
      </w:r>
      <w:r w:rsidRPr="00136E10">
        <w:t xml:space="preserve">симальной детализации, 221110 – </w:t>
      </w:r>
      <w:proofErr w:type="spellStart"/>
      <w:r w:rsidRPr="00136E10">
        <w:t>Гидрогенер</w:t>
      </w:r>
      <w:r w:rsidRPr="00136E10">
        <w:t>а</w:t>
      </w:r>
      <w:r w:rsidRPr="00136E10">
        <w:t>ция</w:t>
      </w:r>
      <w:proofErr w:type="spellEnd"/>
      <w:r w:rsidRPr="00136E10">
        <w:t>). Данная система характеризуется высокой отраслевой детализацией (1057 кодов отраслей из шести цифр), что позволяет произвести макс</w:t>
      </w:r>
      <w:r w:rsidRPr="00136E10">
        <w:t>и</w:t>
      </w:r>
      <w:r w:rsidRPr="00136E10">
        <w:t>мально детальную классификацию, а также до</w:t>
      </w:r>
      <w:r w:rsidRPr="00136E10">
        <w:t>с</w:t>
      </w:r>
      <w:r w:rsidRPr="00136E10">
        <w:t>тупностью данных по отраслевой принадлежности для всех компаний. Выбор электроэнергетики об</w:t>
      </w:r>
      <w:r w:rsidRPr="00136E10">
        <w:t>у</w:t>
      </w:r>
      <w:r w:rsidRPr="00136E10">
        <w:t>словлен большим числом сделок слияний и п</w:t>
      </w:r>
      <w:r w:rsidRPr="00136E10">
        <w:t>о</w:t>
      </w:r>
      <w:r w:rsidRPr="00136E10">
        <w:t>глощений в данной отрасли, отражением финанс</w:t>
      </w:r>
      <w:r w:rsidRPr="00136E10">
        <w:t>о</w:t>
      </w:r>
      <w:r w:rsidRPr="00136E10">
        <w:t>вых потоков в отчетности головных компаний, а также большим объемом капитала и относител</w:t>
      </w:r>
      <w:r w:rsidRPr="00136E10">
        <w:t>ь</w:t>
      </w:r>
      <w:r w:rsidRPr="00136E10">
        <w:t>ной схожестью и предсказуемостью бизнес-процессов внутри отрасли.</w:t>
      </w:r>
    </w:p>
    <w:p w:rsidR="00DE62AF" w:rsidRPr="00136E10" w:rsidRDefault="00136E10" w:rsidP="00136E10">
      <w:pPr>
        <w:ind w:firstLine="397"/>
      </w:pPr>
      <w:r w:rsidRPr="00136E10">
        <w:t>На втором этапе с целью определения типов применяемых стратегий проведен анализ отраслей, относящихся к двухзначному коду 22 – Произво</w:t>
      </w:r>
      <w:r w:rsidRPr="00136E10">
        <w:t>д</w:t>
      </w:r>
      <w:r w:rsidRPr="00136E10">
        <w:t xml:space="preserve">ство и распределение электроэнергии, газа и воды. Данные о шестизначных кодах, начинающихся с двузначного кода 22, включают в себя список из 14 отраслей, из них 8 представляют собой разные виды генерации электроэнергии. Поэтому принято решение в структуре отрасли выделить генерацию </w:t>
      </w:r>
      <w:r w:rsidRPr="00136E10">
        <w:lastRenderedPageBreak/>
        <w:t>электроэнергии как системообразующий вид де</w:t>
      </w:r>
      <w:r w:rsidRPr="00136E10">
        <w:t>я</w:t>
      </w:r>
      <w:r w:rsidRPr="00136E10">
        <w:t>тельности в отрасли в целом, чтобы стратегии «внутри генерации» или «выход за пределы ген</w:t>
      </w:r>
      <w:r w:rsidRPr="00136E10">
        <w:t>е</w:t>
      </w:r>
      <w:r w:rsidRPr="00136E10">
        <w:t>рации» рассматривались как особые виды страт</w:t>
      </w:r>
      <w:r w:rsidRPr="00136E10">
        <w:t>е</w:t>
      </w:r>
      <w:r w:rsidRPr="00136E10">
        <w:t>гий. В этом состоит новизна предлагаемой типол</w:t>
      </w:r>
      <w:r w:rsidRPr="00136E10">
        <w:t>о</w:t>
      </w:r>
      <w:r w:rsidRPr="00136E10">
        <w:t>гии по отношению к типологиям, построенным на основе классификации Р. Гранта, в которых выд</w:t>
      </w:r>
      <w:r w:rsidRPr="00136E10">
        <w:t>е</w:t>
      </w:r>
      <w:r w:rsidRPr="00136E10">
        <w:t>ляют только стратегии вертикальной интеграции вверх и интеграции вниз. Авторский подход осн</w:t>
      </w:r>
      <w:r w:rsidRPr="00136E10">
        <w:t>о</w:t>
      </w:r>
      <w:r w:rsidRPr="00136E10">
        <w:t>ван на исследовании внутренней структуры отра</w:t>
      </w:r>
      <w:r w:rsidRPr="00136E10">
        <w:t>с</w:t>
      </w:r>
      <w:r w:rsidRPr="00136E10">
        <w:t xml:space="preserve">ли и предполагает </w:t>
      </w:r>
      <w:r w:rsidRPr="00A67B84">
        <w:t>выделение стратегий верт</w:t>
      </w:r>
      <w:r w:rsidRPr="00A67B84">
        <w:t>и</w:t>
      </w:r>
      <w:r w:rsidRPr="00A67B84">
        <w:t>кальной интеграции назад и вперед внутри отра</w:t>
      </w:r>
      <w:r w:rsidRPr="00A67B84">
        <w:t>с</w:t>
      </w:r>
      <w:r w:rsidRPr="00A67B84">
        <w:t>ли, вертикальной интеграции назад и вперед вне отрасли (кроме финансов), а также две стратегии, предусматривающие сделки с финансовыми ко</w:t>
      </w:r>
      <w:r w:rsidRPr="00A67B84">
        <w:t>м</w:t>
      </w:r>
      <w:r w:rsidRPr="00A67B84">
        <w:t>паниями; таким образом, число видов стратегий увеличено с двух до шести. Применительно к стратегиям диверсификации авторы статьи выд</w:t>
      </w:r>
      <w:r w:rsidRPr="00A67B84">
        <w:t>е</w:t>
      </w:r>
      <w:r w:rsidRPr="00A67B84">
        <w:t>ляют стратегии горизонтальной диверсификации внутри генерации, а также несвязанной диверс</w:t>
      </w:r>
      <w:r w:rsidRPr="00A67B84">
        <w:t>и</w:t>
      </w:r>
      <w:r w:rsidRPr="00A67B84">
        <w:t>фикации внутри и вне отрасли.</w:t>
      </w:r>
    </w:p>
    <w:p w:rsidR="00136E10" w:rsidRPr="00136E10" w:rsidRDefault="00136E10" w:rsidP="00136E10">
      <w:pPr>
        <w:ind w:firstLine="397"/>
        <w:rPr>
          <w:spacing w:val="-2"/>
        </w:rPr>
      </w:pPr>
      <w:r w:rsidRPr="00136E10">
        <w:rPr>
          <w:spacing w:val="-2"/>
        </w:rPr>
        <w:t>На третьем и четвертом этапах показано, что в каждой из 14 отраслей компания может выступать как объект сделки слияния и поглощения (</w:t>
      </w:r>
      <w:r w:rsidRPr="00136E10">
        <w:rPr>
          <w:spacing w:val="-2"/>
          <w:lang w:val="en-US"/>
        </w:rPr>
        <w:t>target</w:t>
      </w:r>
      <w:r w:rsidRPr="00136E10">
        <w:rPr>
          <w:spacing w:val="-2"/>
        </w:rPr>
        <w:t>) или как инициатор сделки слияния и поглощения (</w:t>
      </w:r>
      <w:r w:rsidRPr="00136E10">
        <w:rPr>
          <w:spacing w:val="-2"/>
          <w:lang w:val="en-US"/>
        </w:rPr>
        <w:t>acquiror</w:t>
      </w:r>
      <w:r w:rsidRPr="00136E10">
        <w:rPr>
          <w:spacing w:val="-2"/>
        </w:rPr>
        <w:t>). Таким образом, внутри отрасли возмо</w:t>
      </w:r>
      <w:r w:rsidRPr="00136E10">
        <w:rPr>
          <w:spacing w:val="-2"/>
        </w:rPr>
        <w:t>ж</w:t>
      </w:r>
      <w:r w:rsidRPr="00136E10">
        <w:rPr>
          <w:spacing w:val="-2"/>
        </w:rPr>
        <w:t>но рассмотреть 196 пар компаний по критерию о</w:t>
      </w:r>
      <w:r w:rsidRPr="00136E10">
        <w:rPr>
          <w:spacing w:val="-2"/>
        </w:rPr>
        <w:t>т</w:t>
      </w:r>
      <w:r w:rsidRPr="00136E10">
        <w:rPr>
          <w:spacing w:val="-2"/>
        </w:rPr>
        <w:t>раслевой принадлежности. Такой анализ проведен с помощью таблицы, где по вертикали были указаны отрасли компании – объекта сделки, а по горизо</w:t>
      </w:r>
      <w:r w:rsidRPr="00136E10">
        <w:rPr>
          <w:spacing w:val="-2"/>
        </w:rPr>
        <w:t>н</w:t>
      </w:r>
      <w:r w:rsidRPr="00136E10">
        <w:rPr>
          <w:spacing w:val="-2"/>
        </w:rPr>
        <w:t>тали – инициатора сделки. Каждая клетка внутри таблицы соответствует не повторяющейся (ун</w:t>
      </w:r>
      <w:r w:rsidRPr="00136E10">
        <w:rPr>
          <w:spacing w:val="-2"/>
        </w:rPr>
        <w:t>и</w:t>
      </w:r>
      <w:r w:rsidRPr="00136E10">
        <w:rPr>
          <w:spacing w:val="-2"/>
        </w:rPr>
        <w:t>кальной) стратегии. В результате проведенного анализа стратегии были классифицированы на 11 типов, каждой из стратегий присвоено название; результаты представлены в табл. 1.</w:t>
      </w:r>
    </w:p>
    <w:p w:rsidR="00136E10" w:rsidRPr="00136E10" w:rsidRDefault="00136E10" w:rsidP="00136E10">
      <w:pPr>
        <w:ind w:firstLine="397"/>
      </w:pPr>
      <w:r w:rsidRPr="00136E10">
        <w:t>В целях настоящего исследования использ</w:t>
      </w:r>
      <w:r w:rsidRPr="00136E10">
        <w:t>о</w:t>
      </w:r>
      <w:r w:rsidRPr="00136E10">
        <w:t xml:space="preserve">ваны эмпирические данные из базы данных </w:t>
      </w:r>
      <w:r w:rsidRPr="00136E10">
        <w:rPr>
          <w:lang w:val="en-US"/>
        </w:rPr>
        <w:t>Zephyr</w:t>
      </w:r>
      <w:r w:rsidRPr="00136E10">
        <w:t xml:space="preserve"> [13], которая представляет собой наиболее полный в мире источник информации о завершенных сделках слияний и поглощений по всем отраслям и странам мира. В настоящее время эта база данных формируется компанией </w:t>
      </w:r>
      <w:r w:rsidRPr="00136E10">
        <w:rPr>
          <w:lang w:val="en-US"/>
        </w:rPr>
        <w:t>Moody</w:t>
      </w:r>
      <w:r w:rsidRPr="00136E10">
        <w:t>’</w:t>
      </w:r>
      <w:r w:rsidRPr="00136E10">
        <w:rPr>
          <w:lang w:val="en-US"/>
        </w:rPr>
        <w:t>s</w:t>
      </w:r>
      <w:r w:rsidRPr="00136E10">
        <w:t xml:space="preserve"> </w:t>
      </w:r>
      <w:r w:rsidRPr="00136E10">
        <w:rPr>
          <w:lang w:val="en-US"/>
        </w:rPr>
        <w:t>Analytics</w:t>
      </w:r>
      <w:r w:rsidRPr="00136E10">
        <w:t>. В с</w:t>
      </w:r>
      <w:r w:rsidRPr="00136E10">
        <w:t>о</w:t>
      </w:r>
      <w:r w:rsidRPr="00136E10">
        <w:t>ставе информации представлены сведения как о параметрах самой сделки, так и сведения о ее уч</w:t>
      </w:r>
      <w:r w:rsidRPr="00136E10">
        <w:t>а</w:t>
      </w:r>
      <w:r w:rsidRPr="00136E10">
        <w:t xml:space="preserve">стниках (инициатор, объект, консультант и пр.), включая их финансовые отчетности. </w:t>
      </w:r>
    </w:p>
    <w:p w:rsidR="00136E10" w:rsidRPr="00136E10" w:rsidRDefault="00136E10" w:rsidP="00136E10">
      <w:pPr>
        <w:ind w:firstLine="397"/>
      </w:pPr>
      <w:r w:rsidRPr="00136E10">
        <w:t xml:space="preserve">Для обработки и систематизации большого массива данных, полученных из базы данных </w:t>
      </w:r>
      <w:proofErr w:type="spellStart"/>
      <w:r w:rsidRPr="00136E10">
        <w:t>Zephyr</w:t>
      </w:r>
      <w:proofErr w:type="spellEnd"/>
      <w:r w:rsidRPr="00136E10">
        <w:t xml:space="preserve"> (в частности, для сопоставления кодов о</w:t>
      </w:r>
      <w:r w:rsidRPr="00136E10">
        <w:t>т</w:t>
      </w:r>
      <w:r w:rsidRPr="00136E10">
        <w:t>раслей инициатора и объекта сделки) авторами разработан специальный программный продукт. В алгоритм сопоставления заложены виды стратегий как результат сочетания кодов отраслей инициат</w:t>
      </w:r>
      <w:r w:rsidRPr="00136E10">
        <w:t>о</w:t>
      </w:r>
      <w:r w:rsidRPr="00136E10">
        <w:t>ра и объекта сделки. Так, сделка, в которой и ин</w:t>
      </w:r>
      <w:r w:rsidRPr="00136E10">
        <w:t>и</w:t>
      </w:r>
      <w:r w:rsidRPr="00136E10">
        <w:t>циатором, и объектом являются компании с одним кодом (например, 22111 – гидрогенерирующая компания), определяется программой как страт</w:t>
      </w:r>
      <w:r w:rsidRPr="00136E10">
        <w:t>е</w:t>
      </w:r>
      <w:r w:rsidRPr="00136E10">
        <w:t xml:space="preserve">гия 1 (горизонтальная интеграция внутри отрасли); </w:t>
      </w:r>
      <w:r w:rsidRPr="00136E10">
        <w:lastRenderedPageBreak/>
        <w:t>сделка, при которой инициатор имеет код 21122 (распределение электроэнергии) покупает гидр</w:t>
      </w:r>
      <w:r w:rsidRPr="00136E10">
        <w:t>о</w:t>
      </w:r>
      <w:r w:rsidRPr="00136E10">
        <w:t>генерирующую компанию с кодом 22111 (</w:t>
      </w:r>
      <w:proofErr w:type="spellStart"/>
      <w:r w:rsidRPr="00136E10">
        <w:t>гидр</w:t>
      </w:r>
      <w:r w:rsidRPr="00136E10">
        <w:t>о</w:t>
      </w:r>
      <w:r w:rsidRPr="00136E10">
        <w:t>генерация</w:t>
      </w:r>
      <w:proofErr w:type="spellEnd"/>
      <w:r w:rsidRPr="00136E10">
        <w:t>) определяется как стратегия 4 (верт</w:t>
      </w:r>
      <w:r w:rsidRPr="00136E10">
        <w:t>и</w:t>
      </w:r>
      <w:r w:rsidRPr="00136E10">
        <w:t>кальная интеграция назад внутри отрасли) и т. д.</w:t>
      </w:r>
    </w:p>
    <w:p w:rsidR="00136E10" w:rsidRPr="00136E10" w:rsidRDefault="00136E10" w:rsidP="00136E10">
      <w:pPr>
        <w:ind w:firstLine="397"/>
      </w:pPr>
      <w:r w:rsidRPr="00136E10">
        <w:t>В табл. 2 и 3 представлены результаты пров</w:t>
      </w:r>
      <w:r w:rsidRPr="00136E10">
        <w:t>е</w:t>
      </w:r>
      <w:r w:rsidRPr="00136E10">
        <w:t>денного анализа по указанному алгоритму. В табл. 2 представлены критерии отнесения сделок к стр</w:t>
      </w:r>
      <w:r w:rsidRPr="00136E10">
        <w:t>а</w:t>
      </w:r>
      <w:r w:rsidRPr="00136E10">
        <w:t xml:space="preserve">тегиям 1–6, когда </w:t>
      </w:r>
      <w:r w:rsidRPr="00136E10">
        <w:rPr>
          <w:bCs/>
        </w:rPr>
        <w:t xml:space="preserve">оба участника сделки относятся к одной отрасли </w:t>
      </w:r>
      <w:r w:rsidRPr="00136E10">
        <w:t>(номера стратегий указаны в ячейках таблицы, названия стратегий см. в табл. 1). Стратегии с кодами 1 и 2, которые соо</w:t>
      </w:r>
      <w:r w:rsidRPr="00136E10">
        <w:t>т</w:t>
      </w:r>
      <w:r w:rsidRPr="00136E10">
        <w:t>ветствуют диагональным элементам матрицы, о</w:t>
      </w:r>
      <w:r w:rsidRPr="00136E10">
        <w:t>т</w:t>
      </w:r>
      <w:r w:rsidRPr="00136E10">
        <w:t xml:space="preserve">носятся к множеству стратегий горизонтальной интеграции внутри отрасли (выделены жирным шрифтом). </w:t>
      </w:r>
    </w:p>
    <w:p w:rsidR="00136E10" w:rsidRPr="00136E10" w:rsidRDefault="00136E10" w:rsidP="00136E10">
      <w:pPr>
        <w:ind w:firstLine="397"/>
        <w:rPr>
          <w:spacing w:val="-2"/>
        </w:rPr>
      </w:pPr>
      <w:r w:rsidRPr="00136E10">
        <w:rPr>
          <w:spacing w:val="-2"/>
        </w:rPr>
        <w:t>В табл. 3 представлены критерии отнесения сделок к стратегиям 7–11, в которых хотя бы один из участников не относится к исследуемой отрасли. К таким стратегиям отнесены вертикальная инт</w:t>
      </w:r>
      <w:r w:rsidRPr="00136E10">
        <w:rPr>
          <w:spacing w:val="-2"/>
        </w:rPr>
        <w:t>е</w:t>
      </w:r>
      <w:r w:rsidRPr="00136E10">
        <w:rPr>
          <w:spacing w:val="-2"/>
        </w:rPr>
        <w:t>грация вперед и назад вне отрасли (стратегии 7 и 8), критерием выделения которой стало отнесение о</w:t>
      </w:r>
      <w:r w:rsidRPr="00136E10">
        <w:rPr>
          <w:spacing w:val="-2"/>
        </w:rPr>
        <w:t>д</w:t>
      </w:r>
      <w:r w:rsidRPr="00136E10">
        <w:rPr>
          <w:spacing w:val="-2"/>
        </w:rPr>
        <w:t>ного из участников сделки (инициатора для страт</w:t>
      </w:r>
      <w:r w:rsidRPr="00136E10">
        <w:rPr>
          <w:spacing w:val="-2"/>
        </w:rPr>
        <w:t>е</w:t>
      </w:r>
      <w:r w:rsidRPr="00136E10">
        <w:rPr>
          <w:spacing w:val="-2"/>
        </w:rPr>
        <w:t>гии 7; объекта для стратегии 8) к отраслям из сп</w:t>
      </w:r>
      <w:r w:rsidRPr="00136E10">
        <w:rPr>
          <w:spacing w:val="-2"/>
        </w:rPr>
        <w:t>и</w:t>
      </w:r>
      <w:r w:rsidRPr="00136E10">
        <w:rPr>
          <w:spacing w:val="-2"/>
        </w:rPr>
        <w:t>ска (*), список отраслей приведен в пояснениях к табл. 3. Также выделена стратегия несвязанной д</w:t>
      </w:r>
      <w:r w:rsidRPr="00136E10">
        <w:rPr>
          <w:spacing w:val="-2"/>
        </w:rPr>
        <w:t>и</w:t>
      </w:r>
      <w:r w:rsidRPr="00136E10">
        <w:rPr>
          <w:spacing w:val="-2"/>
        </w:rPr>
        <w:t>версификации (стратегия 9) вне отрасли, при кот</w:t>
      </w:r>
      <w:r w:rsidRPr="00136E10">
        <w:rPr>
          <w:spacing w:val="-2"/>
        </w:rPr>
        <w:t>о</w:t>
      </w:r>
      <w:r w:rsidRPr="00136E10">
        <w:rPr>
          <w:spacing w:val="-2"/>
        </w:rPr>
        <w:t>р</w:t>
      </w:r>
      <w:r w:rsidR="00DE62AF" w:rsidRPr="00A67B84">
        <w:rPr>
          <w:spacing w:val="-2"/>
        </w:rPr>
        <w:t>ой</w:t>
      </w:r>
      <w:r w:rsidRPr="00136E10">
        <w:rPr>
          <w:spacing w:val="-2"/>
        </w:rPr>
        <w:t xml:space="preserve"> энергетическая компания приобретает актив, имеющий иную отраслевую принадлежность, либо обратная ситуация. Кроме того, выделены страт</w:t>
      </w:r>
      <w:r w:rsidRPr="00136E10">
        <w:rPr>
          <w:spacing w:val="-2"/>
        </w:rPr>
        <w:t>е</w:t>
      </w:r>
      <w:r w:rsidRPr="00136E10">
        <w:rPr>
          <w:spacing w:val="-2"/>
        </w:rPr>
        <w:t>гии с участием финансовых организаций (стратегии 10–11). Отличия внешнего вида табл. 2 и 3 объясн</w:t>
      </w:r>
      <w:r w:rsidRPr="00136E10">
        <w:rPr>
          <w:spacing w:val="-2"/>
        </w:rPr>
        <w:t>я</w:t>
      </w:r>
      <w:r w:rsidRPr="00136E10">
        <w:rPr>
          <w:spacing w:val="-2"/>
        </w:rPr>
        <w:t>ется удобством представления информации: в табл. 3 классифицируются стратегии, в которых один из участников может принадлежать к любой отрасли промышленности, и ее в этом случае нельзя пре</w:t>
      </w:r>
      <w:r w:rsidRPr="00136E10">
        <w:rPr>
          <w:spacing w:val="-2"/>
        </w:rPr>
        <w:t>д</w:t>
      </w:r>
      <w:r w:rsidRPr="00136E10">
        <w:rPr>
          <w:spacing w:val="-2"/>
        </w:rPr>
        <w:t xml:space="preserve">ставить одним кодом. </w:t>
      </w:r>
    </w:p>
    <w:p w:rsidR="00136E10" w:rsidRPr="00136E10" w:rsidRDefault="00136E10" w:rsidP="00136E10">
      <w:pPr>
        <w:ind w:firstLine="397"/>
      </w:pPr>
      <w:r w:rsidRPr="00136E10">
        <w:t>На пятом этапе исследования сформирована типология, учитывающая все полученные выше типы стратегий (представлена в табл. 1). Предл</w:t>
      </w:r>
      <w:r w:rsidRPr="00136E10">
        <w:t>а</w:t>
      </w:r>
      <w:r w:rsidRPr="00136E10">
        <w:t>гаемая типология основана на двух основных ал</w:t>
      </w:r>
      <w:r w:rsidRPr="00136E10">
        <w:t>ь</w:t>
      </w:r>
      <w:r w:rsidRPr="00136E10">
        <w:t>тернативных видах стратегий: интеграции (вкл</w:t>
      </w:r>
      <w:r w:rsidRPr="00136E10">
        <w:t>ю</w:t>
      </w:r>
      <w:r w:rsidRPr="00136E10">
        <w:t>чая горизонтальную интеграцию, вертикальную интеграцию вперед и назад) и диверсификации (включая горизонтальную и несвязанную диве</w:t>
      </w:r>
      <w:r w:rsidRPr="00136E10">
        <w:t>р</w:t>
      </w:r>
      <w:r w:rsidRPr="00136E10">
        <w:t xml:space="preserve">сификацию) (рис. 1 и 2). </w:t>
      </w:r>
    </w:p>
    <w:p w:rsidR="00A67B84" w:rsidRPr="00A67B84" w:rsidRDefault="00A67B84" w:rsidP="00A67B84">
      <w:pPr>
        <w:ind w:firstLine="397"/>
      </w:pPr>
      <w:r w:rsidRPr="00136E10">
        <w:t>Классические подходы к выделению страт</w:t>
      </w:r>
      <w:r w:rsidRPr="00136E10">
        <w:t>е</w:t>
      </w:r>
      <w:r w:rsidRPr="00136E10">
        <w:t xml:space="preserve">гий развития </w:t>
      </w:r>
      <w:proofErr w:type="gramStart"/>
      <w:r w:rsidRPr="00136E10">
        <w:t>охватывают процессы интеграции и диверсификации и учитывают</w:t>
      </w:r>
      <w:proofErr w:type="gramEnd"/>
      <w:r w:rsidRPr="00136E10">
        <w:t xml:space="preserve"> возможности ра</w:t>
      </w:r>
      <w:r w:rsidRPr="00136E10">
        <w:t>с</w:t>
      </w:r>
      <w:r w:rsidRPr="00136E10">
        <w:t>ширения бизнеса как внутри отрасли, так и вне отрасли. Авторская типология отличается от имеющихся существенно большей детализацией по признаку отраслевого фактора, чем предлагают классические классификации. Именно отраслевой фактор лежит в основе определения направлений корпоративных стратегий – развиваться в рамках одной отрасли или выходить за пределы отрасли. Выбор границ отрасли при этом не рассматривался как необходимый этап анализа при выборе страте</w:t>
      </w:r>
      <w:r w:rsidRPr="00A67B84">
        <w:t>-</w:t>
      </w:r>
    </w:p>
    <w:p w:rsidR="00A67B84" w:rsidRPr="00BC27B3" w:rsidRDefault="00F5713B" w:rsidP="00A67B84">
      <w:pPr>
        <w:ind w:firstLine="397"/>
      </w:pPr>
      <w:r w:rsidRPr="00F5713B">
        <w:rPr>
          <w:b/>
          <w:bCs/>
          <w:noProof/>
        </w:rPr>
        <w:lastRenderedPageBreak/>
        <w:pict>
          <v:shape id="_x0000_s1413" type="#_x0000_t202" style="position:absolute;left:0;text-align:left;margin-left:1.35pt;margin-top:1.75pt;width:465.35pt;height:680.25pt;z-index:251658240" stroked="f">
            <v:textbox>
              <w:txbxContent>
                <w:p w:rsidR="00A67B84" w:rsidRDefault="00A67B84" w:rsidP="00136E10">
                  <w:pPr>
                    <w:jc w:val="right"/>
                    <w:rPr>
                      <w:rFonts w:ascii="Arial" w:hAnsi="Arial" w:cs="Arial"/>
                      <w:b/>
                      <w:bCs/>
                      <w:sz w:val="16"/>
                      <w:lang w:val="en-US"/>
                    </w:rPr>
                  </w:pPr>
                </w:p>
                <w:p w:rsidR="00136E10" w:rsidRPr="00136E10" w:rsidRDefault="00136E10" w:rsidP="00136E10">
                  <w:pPr>
                    <w:jc w:val="right"/>
                    <w:rPr>
                      <w:rFonts w:ascii="Arial" w:hAnsi="Arial" w:cs="Arial"/>
                      <w:b/>
                      <w:bCs/>
                      <w:sz w:val="16"/>
                    </w:rPr>
                  </w:pPr>
                  <w:r w:rsidRPr="00136E10">
                    <w:rPr>
                      <w:rFonts w:ascii="Arial" w:hAnsi="Arial" w:cs="Arial"/>
                      <w:b/>
                      <w:bCs/>
                      <w:sz w:val="16"/>
                    </w:rPr>
                    <w:t>Таблица 1</w:t>
                  </w:r>
                </w:p>
                <w:p w:rsidR="00136E10" w:rsidRPr="00136E10" w:rsidRDefault="00136E10" w:rsidP="00136E10">
                  <w:pPr>
                    <w:spacing w:after="120"/>
                    <w:jc w:val="center"/>
                    <w:rPr>
                      <w:rFonts w:ascii="Arial" w:hAnsi="Arial" w:cs="Arial"/>
                      <w:b/>
                      <w:bCs/>
                      <w:sz w:val="16"/>
                    </w:rPr>
                  </w:pPr>
                  <w:r w:rsidRPr="00136E10">
                    <w:rPr>
                      <w:rFonts w:ascii="Arial" w:hAnsi="Arial" w:cs="Arial"/>
                      <w:b/>
                      <w:bCs/>
                      <w:sz w:val="16"/>
                    </w:rPr>
                    <w:t xml:space="preserve">Типология конкурентных стратегий на основе интеграции </w:t>
                  </w:r>
                  <w:r w:rsidRPr="00136E10">
                    <w:rPr>
                      <w:rFonts w:ascii="Arial" w:hAnsi="Arial" w:cs="Arial"/>
                      <w:b/>
                      <w:bCs/>
                      <w:sz w:val="16"/>
                    </w:rPr>
                    <w:br/>
                    <w:t>и диверсификации, реализуемы на основе сделок слияний и поглощений</w:t>
                  </w:r>
                </w:p>
                <w:tbl>
                  <w:tblPr>
                    <w:tblW w:w="9092" w:type="dxa"/>
                    <w:jc w:val="center"/>
                    <w:tblLook w:val="04A0"/>
                  </w:tblPr>
                  <w:tblGrid>
                    <w:gridCol w:w="826"/>
                    <w:gridCol w:w="8266"/>
                  </w:tblGrid>
                  <w:tr w:rsidR="00136E10" w:rsidRPr="00136E10" w:rsidTr="006C04F7">
                    <w:trPr>
                      <w:trHeight w:val="225"/>
                      <w:jc w:val="center"/>
                    </w:trPr>
                    <w:tc>
                      <w:tcPr>
                        <w:tcW w:w="8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6E10" w:rsidRPr="00136E10" w:rsidRDefault="00136E10" w:rsidP="006C04F7">
                        <w:r w:rsidRPr="00136E10">
                          <w:t>Код</w:t>
                        </w:r>
                      </w:p>
                    </w:tc>
                    <w:tc>
                      <w:tcPr>
                        <w:tcW w:w="8266" w:type="dxa"/>
                        <w:tcBorders>
                          <w:top w:val="single" w:sz="4" w:space="0" w:color="auto"/>
                          <w:left w:val="nil"/>
                          <w:bottom w:val="single" w:sz="4" w:space="0" w:color="auto"/>
                          <w:right w:val="single" w:sz="4" w:space="0" w:color="auto"/>
                        </w:tcBorders>
                        <w:shd w:val="clear" w:color="auto" w:fill="auto"/>
                        <w:noWrap/>
                        <w:vAlign w:val="bottom"/>
                      </w:tcPr>
                      <w:p w:rsidR="00136E10" w:rsidRPr="00136E10" w:rsidRDefault="00136E10" w:rsidP="006C04F7">
                        <w:r w:rsidRPr="00136E10">
                          <w:t>Название стратегии</w:t>
                        </w:r>
                      </w:p>
                    </w:tc>
                  </w:tr>
                  <w:tr w:rsidR="00136E10" w:rsidRPr="00136E10" w:rsidTr="006C04F7">
                    <w:trPr>
                      <w:trHeight w:val="225"/>
                      <w:jc w:val="center"/>
                    </w:trPr>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136E10" w:rsidRPr="00136E10" w:rsidRDefault="00136E10" w:rsidP="006C04F7">
                        <w:r w:rsidRPr="00136E10">
                          <w:t>1</w:t>
                        </w:r>
                      </w:p>
                    </w:tc>
                    <w:tc>
                      <w:tcPr>
                        <w:tcW w:w="8266" w:type="dxa"/>
                        <w:tcBorders>
                          <w:top w:val="single" w:sz="4" w:space="0" w:color="auto"/>
                          <w:left w:val="nil"/>
                          <w:bottom w:val="single" w:sz="4" w:space="0" w:color="auto"/>
                          <w:right w:val="single" w:sz="4" w:space="0" w:color="auto"/>
                        </w:tcBorders>
                        <w:shd w:val="clear" w:color="auto" w:fill="auto"/>
                        <w:noWrap/>
                        <w:hideMark/>
                      </w:tcPr>
                      <w:p w:rsidR="00136E10" w:rsidRPr="00136E10" w:rsidRDefault="00136E10" w:rsidP="006C04F7">
                        <w:r w:rsidRPr="00136E10">
                          <w:t>Горизонтальная интеграция внутри отрасли (генерация)</w:t>
                        </w:r>
                      </w:p>
                    </w:tc>
                  </w:tr>
                  <w:tr w:rsidR="00136E10" w:rsidRPr="00136E10" w:rsidTr="006C04F7">
                    <w:trPr>
                      <w:trHeight w:val="225"/>
                      <w:jc w:val="center"/>
                    </w:trPr>
                    <w:tc>
                      <w:tcPr>
                        <w:tcW w:w="826" w:type="dxa"/>
                        <w:tcBorders>
                          <w:top w:val="nil"/>
                          <w:left w:val="single" w:sz="4" w:space="0" w:color="auto"/>
                          <w:bottom w:val="single" w:sz="4" w:space="0" w:color="auto"/>
                          <w:right w:val="single" w:sz="4" w:space="0" w:color="auto"/>
                        </w:tcBorders>
                        <w:shd w:val="clear" w:color="auto" w:fill="auto"/>
                        <w:noWrap/>
                        <w:hideMark/>
                      </w:tcPr>
                      <w:p w:rsidR="00136E10" w:rsidRPr="00136E10" w:rsidRDefault="00136E10" w:rsidP="006C04F7">
                        <w:r w:rsidRPr="00136E10">
                          <w:t>2</w:t>
                        </w:r>
                      </w:p>
                    </w:tc>
                    <w:tc>
                      <w:tcPr>
                        <w:tcW w:w="8266" w:type="dxa"/>
                        <w:tcBorders>
                          <w:top w:val="nil"/>
                          <w:left w:val="nil"/>
                          <w:bottom w:val="single" w:sz="4" w:space="0" w:color="auto"/>
                          <w:right w:val="single" w:sz="4" w:space="0" w:color="auto"/>
                        </w:tcBorders>
                        <w:shd w:val="clear" w:color="auto" w:fill="auto"/>
                        <w:noWrap/>
                        <w:hideMark/>
                      </w:tcPr>
                      <w:p w:rsidR="00136E10" w:rsidRPr="00136E10" w:rsidRDefault="00136E10" w:rsidP="006C04F7">
                        <w:r w:rsidRPr="00136E10">
                          <w:t>Горизонтальная интеграция внутри отрасли (кроме генерации)</w:t>
                        </w:r>
                      </w:p>
                    </w:tc>
                  </w:tr>
                  <w:tr w:rsidR="00136E10" w:rsidRPr="00136E10" w:rsidTr="006C04F7">
                    <w:trPr>
                      <w:trHeight w:val="225"/>
                      <w:jc w:val="center"/>
                    </w:trPr>
                    <w:tc>
                      <w:tcPr>
                        <w:tcW w:w="826" w:type="dxa"/>
                        <w:tcBorders>
                          <w:top w:val="nil"/>
                          <w:left w:val="single" w:sz="4" w:space="0" w:color="auto"/>
                          <w:bottom w:val="single" w:sz="4" w:space="0" w:color="auto"/>
                          <w:right w:val="single" w:sz="4" w:space="0" w:color="auto"/>
                        </w:tcBorders>
                        <w:shd w:val="clear" w:color="auto" w:fill="auto"/>
                        <w:noWrap/>
                        <w:hideMark/>
                      </w:tcPr>
                      <w:p w:rsidR="00136E10" w:rsidRPr="00136E10" w:rsidRDefault="00136E10" w:rsidP="006C04F7">
                        <w:r w:rsidRPr="00136E10">
                          <w:t>3</w:t>
                        </w:r>
                      </w:p>
                    </w:tc>
                    <w:tc>
                      <w:tcPr>
                        <w:tcW w:w="8266" w:type="dxa"/>
                        <w:tcBorders>
                          <w:top w:val="nil"/>
                          <w:left w:val="nil"/>
                          <w:bottom w:val="single" w:sz="4" w:space="0" w:color="auto"/>
                          <w:right w:val="single" w:sz="4" w:space="0" w:color="auto"/>
                        </w:tcBorders>
                        <w:shd w:val="clear" w:color="auto" w:fill="auto"/>
                        <w:noWrap/>
                        <w:hideMark/>
                      </w:tcPr>
                      <w:p w:rsidR="00136E10" w:rsidRPr="00136E10" w:rsidRDefault="00136E10" w:rsidP="006C04F7">
                        <w:r w:rsidRPr="00136E10">
                          <w:t>Горизонтальная диверсификация внутри генерации</w:t>
                        </w:r>
                      </w:p>
                    </w:tc>
                  </w:tr>
                  <w:tr w:rsidR="00136E10" w:rsidRPr="00136E10" w:rsidTr="006C04F7">
                    <w:trPr>
                      <w:trHeight w:val="225"/>
                      <w:jc w:val="center"/>
                    </w:trPr>
                    <w:tc>
                      <w:tcPr>
                        <w:tcW w:w="826" w:type="dxa"/>
                        <w:tcBorders>
                          <w:top w:val="nil"/>
                          <w:left w:val="single" w:sz="4" w:space="0" w:color="auto"/>
                          <w:bottom w:val="single" w:sz="4" w:space="0" w:color="auto"/>
                          <w:right w:val="single" w:sz="4" w:space="0" w:color="auto"/>
                        </w:tcBorders>
                        <w:shd w:val="clear" w:color="auto" w:fill="auto"/>
                        <w:noWrap/>
                        <w:hideMark/>
                      </w:tcPr>
                      <w:p w:rsidR="00136E10" w:rsidRPr="00136E10" w:rsidRDefault="00136E10" w:rsidP="006C04F7">
                        <w:r w:rsidRPr="00136E10">
                          <w:t>4</w:t>
                        </w:r>
                      </w:p>
                    </w:tc>
                    <w:tc>
                      <w:tcPr>
                        <w:tcW w:w="8266" w:type="dxa"/>
                        <w:tcBorders>
                          <w:top w:val="nil"/>
                          <w:left w:val="nil"/>
                          <w:bottom w:val="single" w:sz="4" w:space="0" w:color="auto"/>
                          <w:right w:val="single" w:sz="4" w:space="0" w:color="auto"/>
                        </w:tcBorders>
                        <w:shd w:val="clear" w:color="auto" w:fill="auto"/>
                        <w:noWrap/>
                        <w:hideMark/>
                      </w:tcPr>
                      <w:p w:rsidR="00136E10" w:rsidRPr="00136E10" w:rsidRDefault="00136E10" w:rsidP="006C04F7">
                        <w:r w:rsidRPr="00136E10">
                          <w:t>Вертикальная интеграция «назад» внутри отрасли</w:t>
                        </w:r>
                      </w:p>
                    </w:tc>
                  </w:tr>
                  <w:tr w:rsidR="00136E10" w:rsidRPr="00136E10" w:rsidTr="006C04F7">
                    <w:trPr>
                      <w:trHeight w:val="225"/>
                      <w:jc w:val="center"/>
                    </w:trPr>
                    <w:tc>
                      <w:tcPr>
                        <w:tcW w:w="826" w:type="dxa"/>
                        <w:tcBorders>
                          <w:top w:val="nil"/>
                          <w:left w:val="single" w:sz="4" w:space="0" w:color="auto"/>
                          <w:bottom w:val="single" w:sz="4" w:space="0" w:color="auto"/>
                          <w:right w:val="single" w:sz="4" w:space="0" w:color="auto"/>
                        </w:tcBorders>
                        <w:shd w:val="clear" w:color="auto" w:fill="auto"/>
                        <w:noWrap/>
                        <w:hideMark/>
                      </w:tcPr>
                      <w:p w:rsidR="00136E10" w:rsidRPr="00136E10" w:rsidRDefault="00136E10" w:rsidP="006C04F7">
                        <w:r w:rsidRPr="00136E10">
                          <w:t>5</w:t>
                        </w:r>
                      </w:p>
                    </w:tc>
                    <w:tc>
                      <w:tcPr>
                        <w:tcW w:w="8266" w:type="dxa"/>
                        <w:tcBorders>
                          <w:top w:val="nil"/>
                          <w:left w:val="nil"/>
                          <w:bottom w:val="single" w:sz="4" w:space="0" w:color="auto"/>
                          <w:right w:val="single" w:sz="4" w:space="0" w:color="auto"/>
                        </w:tcBorders>
                        <w:shd w:val="clear" w:color="auto" w:fill="auto"/>
                        <w:noWrap/>
                        <w:hideMark/>
                      </w:tcPr>
                      <w:p w:rsidR="00136E10" w:rsidRPr="00136E10" w:rsidRDefault="00136E10" w:rsidP="006C04F7">
                        <w:r w:rsidRPr="00136E10">
                          <w:t>Вертикальная интеграция «вперед» внутри отрасли</w:t>
                        </w:r>
                      </w:p>
                    </w:tc>
                  </w:tr>
                  <w:tr w:rsidR="00136E10" w:rsidRPr="00136E10" w:rsidTr="006C04F7">
                    <w:trPr>
                      <w:trHeight w:val="225"/>
                      <w:jc w:val="center"/>
                    </w:trPr>
                    <w:tc>
                      <w:tcPr>
                        <w:tcW w:w="826" w:type="dxa"/>
                        <w:tcBorders>
                          <w:top w:val="nil"/>
                          <w:left w:val="single" w:sz="4" w:space="0" w:color="auto"/>
                          <w:bottom w:val="single" w:sz="4" w:space="0" w:color="auto"/>
                          <w:right w:val="single" w:sz="4" w:space="0" w:color="auto"/>
                        </w:tcBorders>
                        <w:shd w:val="clear" w:color="auto" w:fill="auto"/>
                        <w:noWrap/>
                        <w:hideMark/>
                      </w:tcPr>
                      <w:p w:rsidR="00136E10" w:rsidRPr="00136E10" w:rsidRDefault="00136E10" w:rsidP="006C04F7">
                        <w:r w:rsidRPr="00136E10">
                          <w:t>6</w:t>
                        </w:r>
                      </w:p>
                    </w:tc>
                    <w:tc>
                      <w:tcPr>
                        <w:tcW w:w="8266" w:type="dxa"/>
                        <w:tcBorders>
                          <w:top w:val="nil"/>
                          <w:left w:val="nil"/>
                          <w:bottom w:val="single" w:sz="4" w:space="0" w:color="auto"/>
                          <w:right w:val="single" w:sz="4" w:space="0" w:color="auto"/>
                        </w:tcBorders>
                        <w:shd w:val="clear" w:color="auto" w:fill="auto"/>
                        <w:noWrap/>
                        <w:hideMark/>
                      </w:tcPr>
                      <w:p w:rsidR="00136E10" w:rsidRPr="00136E10" w:rsidRDefault="00136E10" w:rsidP="006C04F7">
                        <w:r w:rsidRPr="00136E10">
                          <w:t>Несвязанная диверсификация внутри отрасли</w:t>
                        </w:r>
                      </w:p>
                    </w:tc>
                  </w:tr>
                  <w:tr w:rsidR="00136E10" w:rsidRPr="00136E10" w:rsidTr="006C04F7">
                    <w:trPr>
                      <w:trHeight w:val="225"/>
                      <w:jc w:val="center"/>
                    </w:trPr>
                    <w:tc>
                      <w:tcPr>
                        <w:tcW w:w="826" w:type="dxa"/>
                        <w:tcBorders>
                          <w:top w:val="nil"/>
                          <w:left w:val="single" w:sz="4" w:space="0" w:color="auto"/>
                          <w:bottom w:val="single" w:sz="4" w:space="0" w:color="auto"/>
                          <w:right w:val="single" w:sz="4" w:space="0" w:color="auto"/>
                        </w:tcBorders>
                        <w:shd w:val="clear" w:color="auto" w:fill="auto"/>
                        <w:noWrap/>
                        <w:hideMark/>
                      </w:tcPr>
                      <w:p w:rsidR="00136E10" w:rsidRPr="00136E10" w:rsidRDefault="00136E10" w:rsidP="006C04F7">
                        <w:r w:rsidRPr="00136E10">
                          <w:t>7</w:t>
                        </w:r>
                      </w:p>
                    </w:tc>
                    <w:tc>
                      <w:tcPr>
                        <w:tcW w:w="8266" w:type="dxa"/>
                        <w:tcBorders>
                          <w:top w:val="nil"/>
                          <w:left w:val="nil"/>
                          <w:bottom w:val="single" w:sz="4" w:space="0" w:color="auto"/>
                          <w:right w:val="single" w:sz="4" w:space="0" w:color="auto"/>
                        </w:tcBorders>
                        <w:shd w:val="clear" w:color="auto" w:fill="auto"/>
                        <w:noWrap/>
                        <w:hideMark/>
                      </w:tcPr>
                      <w:p w:rsidR="00136E10" w:rsidRPr="00136E10" w:rsidRDefault="00136E10" w:rsidP="006C04F7">
                        <w:r w:rsidRPr="00136E10">
                          <w:t>Вертикальная интеграция «назад» вне отрасли (кроме финансов)</w:t>
                        </w:r>
                      </w:p>
                    </w:tc>
                  </w:tr>
                  <w:tr w:rsidR="00136E10" w:rsidRPr="00136E10" w:rsidTr="006C04F7">
                    <w:trPr>
                      <w:trHeight w:val="225"/>
                      <w:jc w:val="center"/>
                    </w:trPr>
                    <w:tc>
                      <w:tcPr>
                        <w:tcW w:w="826" w:type="dxa"/>
                        <w:tcBorders>
                          <w:top w:val="nil"/>
                          <w:left w:val="single" w:sz="4" w:space="0" w:color="auto"/>
                          <w:bottom w:val="single" w:sz="4" w:space="0" w:color="auto"/>
                          <w:right w:val="single" w:sz="4" w:space="0" w:color="auto"/>
                        </w:tcBorders>
                        <w:shd w:val="clear" w:color="auto" w:fill="auto"/>
                        <w:noWrap/>
                        <w:hideMark/>
                      </w:tcPr>
                      <w:p w:rsidR="00136E10" w:rsidRPr="00136E10" w:rsidRDefault="00136E10" w:rsidP="006C04F7">
                        <w:r w:rsidRPr="00136E10">
                          <w:t>8</w:t>
                        </w:r>
                      </w:p>
                    </w:tc>
                    <w:tc>
                      <w:tcPr>
                        <w:tcW w:w="8266" w:type="dxa"/>
                        <w:tcBorders>
                          <w:top w:val="nil"/>
                          <w:left w:val="nil"/>
                          <w:bottom w:val="single" w:sz="4" w:space="0" w:color="auto"/>
                          <w:right w:val="single" w:sz="4" w:space="0" w:color="auto"/>
                        </w:tcBorders>
                        <w:shd w:val="clear" w:color="auto" w:fill="auto"/>
                        <w:noWrap/>
                        <w:hideMark/>
                      </w:tcPr>
                      <w:p w:rsidR="00136E10" w:rsidRPr="00136E10" w:rsidRDefault="00136E10" w:rsidP="006C04F7">
                        <w:r w:rsidRPr="00136E10">
                          <w:t>Вертикальная интеграция «вперед» вне отрасли (кроме финансов)</w:t>
                        </w:r>
                      </w:p>
                    </w:tc>
                  </w:tr>
                  <w:tr w:rsidR="00136E10" w:rsidRPr="00136E10" w:rsidTr="006C04F7">
                    <w:trPr>
                      <w:trHeight w:val="225"/>
                      <w:jc w:val="center"/>
                    </w:trPr>
                    <w:tc>
                      <w:tcPr>
                        <w:tcW w:w="826" w:type="dxa"/>
                        <w:tcBorders>
                          <w:top w:val="nil"/>
                          <w:left w:val="single" w:sz="4" w:space="0" w:color="auto"/>
                          <w:bottom w:val="single" w:sz="4" w:space="0" w:color="auto"/>
                          <w:right w:val="single" w:sz="4" w:space="0" w:color="auto"/>
                        </w:tcBorders>
                        <w:shd w:val="clear" w:color="auto" w:fill="auto"/>
                        <w:noWrap/>
                        <w:hideMark/>
                      </w:tcPr>
                      <w:p w:rsidR="00136E10" w:rsidRPr="00136E10" w:rsidRDefault="00136E10" w:rsidP="006C04F7">
                        <w:r w:rsidRPr="00136E10">
                          <w:t>9</w:t>
                        </w:r>
                      </w:p>
                    </w:tc>
                    <w:tc>
                      <w:tcPr>
                        <w:tcW w:w="8266" w:type="dxa"/>
                        <w:tcBorders>
                          <w:top w:val="nil"/>
                          <w:left w:val="nil"/>
                          <w:bottom w:val="single" w:sz="4" w:space="0" w:color="auto"/>
                          <w:right w:val="single" w:sz="4" w:space="0" w:color="auto"/>
                        </w:tcBorders>
                        <w:shd w:val="clear" w:color="auto" w:fill="auto"/>
                        <w:noWrap/>
                        <w:hideMark/>
                      </w:tcPr>
                      <w:p w:rsidR="00136E10" w:rsidRPr="00136E10" w:rsidRDefault="00136E10" w:rsidP="006C04F7">
                        <w:r w:rsidRPr="00136E10">
                          <w:t>Несвязанная диверсификация вне отрасли</w:t>
                        </w:r>
                      </w:p>
                    </w:tc>
                  </w:tr>
                  <w:tr w:rsidR="00136E10" w:rsidRPr="00136E10" w:rsidTr="006C04F7">
                    <w:trPr>
                      <w:trHeight w:val="225"/>
                      <w:jc w:val="center"/>
                    </w:trPr>
                    <w:tc>
                      <w:tcPr>
                        <w:tcW w:w="826" w:type="dxa"/>
                        <w:tcBorders>
                          <w:top w:val="nil"/>
                          <w:left w:val="single" w:sz="4" w:space="0" w:color="auto"/>
                          <w:bottom w:val="single" w:sz="4" w:space="0" w:color="auto"/>
                          <w:right w:val="single" w:sz="4" w:space="0" w:color="auto"/>
                        </w:tcBorders>
                        <w:shd w:val="clear" w:color="auto" w:fill="auto"/>
                        <w:noWrap/>
                        <w:hideMark/>
                      </w:tcPr>
                      <w:p w:rsidR="00136E10" w:rsidRPr="00136E10" w:rsidRDefault="00136E10" w:rsidP="006C04F7">
                        <w:r w:rsidRPr="00136E10">
                          <w:t>10</w:t>
                        </w:r>
                      </w:p>
                    </w:tc>
                    <w:tc>
                      <w:tcPr>
                        <w:tcW w:w="8266" w:type="dxa"/>
                        <w:tcBorders>
                          <w:top w:val="nil"/>
                          <w:left w:val="nil"/>
                          <w:bottom w:val="single" w:sz="4" w:space="0" w:color="auto"/>
                          <w:right w:val="single" w:sz="4" w:space="0" w:color="auto"/>
                        </w:tcBorders>
                        <w:shd w:val="clear" w:color="auto" w:fill="auto"/>
                        <w:noWrap/>
                        <w:hideMark/>
                      </w:tcPr>
                      <w:p w:rsidR="00136E10" w:rsidRPr="00136E10" w:rsidRDefault="00136E10" w:rsidP="006C04F7">
                        <w:r w:rsidRPr="00136E10">
                          <w:t xml:space="preserve">Приобретение финансовых организаций компаниями данной отрасли </w:t>
                        </w:r>
                      </w:p>
                    </w:tc>
                  </w:tr>
                  <w:tr w:rsidR="00136E10" w:rsidRPr="00136E10" w:rsidTr="006C04F7">
                    <w:trPr>
                      <w:trHeight w:val="225"/>
                      <w:jc w:val="center"/>
                    </w:trPr>
                    <w:tc>
                      <w:tcPr>
                        <w:tcW w:w="826" w:type="dxa"/>
                        <w:tcBorders>
                          <w:top w:val="nil"/>
                          <w:left w:val="single" w:sz="4" w:space="0" w:color="auto"/>
                          <w:bottom w:val="single" w:sz="4" w:space="0" w:color="auto"/>
                          <w:right w:val="single" w:sz="4" w:space="0" w:color="auto"/>
                        </w:tcBorders>
                        <w:shd w:val="clear" w:color="auto" w:fill="auto"/>
                        <w:noWrap/>
                        <w:hideMark/>
                      </w:tcPr>
                      <w:p w:rsidR="00136E10" w:rsidRPr="00136E10" w:rsidRDefault="00136E10" w:rsidP="006C04F7">
                        <w:r w:rsidRPr="00136E10">
                          <w:t>11</w:t>
                        </w:r>
                      </w:p>
                    </w:tc>
                    <w:tc>
                      <w:tcPr>
                        <w:tcW w:w="8266" w:type="dxa"/>
                        <w:tcBorders>
                          <w:top w:val="nil"/>
                          <w:left w:val="nil"/>
                          <w:bottom w:val="single" w:sz="4" w:space="0" w:color="auto"/>
                          <w:right w:val="single" w:sz="4" w:space="0" w:color="auto"/>
                        </w:tcBorders>
                        <w:shd w:val="clear" w:color="auto" w:fill="auto"/>
                        <w:noWrap/>
                        <w:hideMark/>
                      </w:tcPr>
                      <w:p w:rsidR="00136E10" w:rsidRPr="00136E10" w:rsidRDefault="00136E10" w:rsidP="006C04F7">
                        <w:r w:rsidRPr="00136E10">
                          <w:t>Приобретение финансовыми организациями компаний данной отрасли</w:t>
                        </w:r>
                      </w:p>
                    </w:tc>
                  </w:tr>
                </w:tbl>
                <w:p w:rsidR="00136E10" w:rsidRDefault="00136E10" w:rsidP="00136E10">
                  <w:pPr>
                    <w:ind w:firstLine="397"/>
                  </w:pPr>
                </w:p>
                <w:p w:rsidR="00136E10" w:rsidRPr="00136E10" w:rsidRDefault="00136E10" w:rsidP="00136E10">
                  <w:pPr>
                    <w:ind w:firstLine="397"/>
                  </w:pPr>
                </w:p>
                <w:p w:rsidR="00136E10" w:rsidRPr="00136E10" w:rsidRDefault="00136E10" w:rsidP="00136E10">
                  <w:pPr>
                    <w:jc w:val="right"/>
                    <w:rPr>
                      <w:rFonts w:ascii="Arial" w:hAnsi="Arial" w:cs="Arial"/>
                      <w:b/>
                      <w:bCs/>
                      <w:sz w:val="16"/>
                    </w:rPr>
                  </w:pPr>
                  <w:r w:rsidRPr="00136E10">
                    <w:rPr>
                      <w:rFonts w:ascii="Arial" w:hAnsi="Arial" w:cs="Arial"/>
                      <w:b/>
                      <w:bCs/>
                      <w:sz w:val="16"/>
                    </w:rPr>
                    <w:t>Таблица 2</w:t>
                  </w:r>
                </w:p>
                <w:p w:rsidR="00136E10" w:rsidRPr="00136E10" w:rsidRDefault="00136E10" w:rsidP="00136E10">
                  <w:pPr>
                    <w:spacing w:after="120"/>
                    <w:jc w:val="center"/>
                    <w:rPr>
                      <w:rFonts w:ascii="Arial" w:hAnsi="Arial" w:cs="Arial"/>
                      <w:b/>
                      <w:bCs/>
                      <w:sz w:val="16"/>
                    </w:rPr>
                  </w:pPr>
                  <w:r w:rsidRPr="00136E10">
                    <w:rPr>
                      <w:rFonts w:ascii="Arial" w:hAnsi="Arial" w:cs="Arial"/>
                      <w:b/>
                      <w:bCs/>
                      <w:sz w:val="16"/>
                    </w:rPr>
                    <w:t xml:space="preserve">Критерии отнесения сделок слияний и поглощений к стратегиям 1–6 </w:t>
                  </w:r>
                  <w:r w:rsidR="00A67B84" w:rsidRPr="00A67B84">
                    <w:rPr>
                      <w:rFonts w:ascii="Arial" w:hAnsi="Arial" w:cs="Arial"/>
                      <w:b/>
                      <w:bCs/>
                      <w:sz w:val="16"/>
                    </w:rPr>
                    <w:br/>
                  </w:r>
                  <w:r w:rsidRPr="00136E10">
                    <w:rPr>
                      <w:rFonts w:ascii="Arial" w:hAnsi="Arial" w:cs="Arial"/>
                      <w:b/>
                      <w:bCs/>
                      <w:sz w:val="16"/>
                    </w:rPr>
                    <w:t>(инициатор и объект сделки относятся к одной отрасли)</w:t>
                  </w:r>
                </w:p>
                <w:tbl>
                  <w:tblPr>
                    <w:tblW w:w="9207" w:type="dxa"/>
                    <w:tblLayout w:type="fixed"/>
                    <w:tblLook w:val="04A0"/>
                  </w:tblPr>
                  <w:tblGrid>
                    <w:gridCol w:w="378"/>
                    <w:gridCol w:w="893"/>
                    <w:gridCol w:w="2552"/>
                    <w:gridCol w:w="453"/>
                    <w:gridCol w:w="379"/>
                    <w:gridCol w:w="379"/>
                    <w:gridCol w:w="379"/>
                    <w:gridCol w:w="379"/>
                    <w:gridCol w:w="379"/>
                    <w:gridCol w:w="379"/>
                    <w:gridCol w:w="379"/>
                    <w:gridCol w:w="379"/>
                    <w:gridCol w:w="379"/>
                    <w:gridCol w:w="379"/>
                    <w:gridCol w:w="379"/>
                    <w:gridCol w:w="379"/>
                    <w:gridCol w:w="383"/>
                  </w:tblGrid>
                  <w:tr w:rsidR="00136E10" w:rsidRPr="00136E10" w:rsidTr="006C04F7">
                    <w:trPr>
                      <w:trHeight w:val="300"/>
                    </w:trPr>
                    <w:tc>
                      <w:tcPr>
                        <w:tcW w:w="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r w:rsidRPr="00136E10">
                          <w:t>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rsidR="00136E10" w:rsidRPr="00136E10" w:rsidRDefault="00136E10" w:rsidP="006C04F7">
                        <w:r w:rsidRPr="00136E10">
                          <w:t>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rsidR="00136E10" w:rsidRPr="00136E10" w:rsidRDefault="00136E10" w:rsidP="006C04F7">
                        <w:r w:rsidRPr="00136E10">
                          <w:t> </w:t>
                        </w:r>
                      </w:p>
                    </w:tc>
                    <w:tc>
                      <w:tcPr>
                        <w:tcW w:w="5384" w:type="dxa"/>
                        <w:gridSpan w:val="14"/>
                        <w:tcBorders>
                          <w:top w:val="single" w:sz="4" w:space="0" w:color="auto"/>
                          <w:left w:val="nil"/>
                          <w:bottom w:val="single" w:sz="4" w:space="0" w:color="auto"/>
                          <w:right w:val="single" w:sz="4" w:space="0" w:color="auto"/>
                        </w:tcBorders>
                        <w:shd w:val="clear" w:color="auto" w:fill="auto"/>
                        <w:noWrap/>
                        <w:vAlign w:val="bottom"/>
                        <w:hideMark/>
                      </w:tcPr>
                      <w:p w:rsidR="00136E10" w:rsidRPr="00136E10" w:rsidRDefault="00136E10" w:rsidP="006C04F7">
                        <w:pPr>
                          <w:jc w:val="center"/>
                        </w:pPr>
                        <w:proofErr w:type="spellStart"/>
                        <w:r w:rsidRPr="00136E10">
                          <w:t>Acquiror</w:t>
                        </w:r>
                        <w:proofErr w:type="spellEnd"/>
                        <w:r w:rsidRPr="00136E10">
                          <w:t xml:space="preserve"> (инициатор сделки)</w:t>
                        </w:r>
                      </w:p>
                    </w:tc>
                  </w:tr>
                  <w:tr w:rsidR="00136E10" w:rsidRPr="00136E10" w:rsidTr="006C04F7">
                    <w:trPr>
                      <w:cantSplit/>
                      <w:trHeight w:val="921"/>
                    </w:trPr>
                    <w:tc>
                      <w:tcPr>
                        <w:tcW w:w="378" w:type="dxa"/>
                        <w:tcBorders>
                          <w:top w:val="nil"/>
                          <w:left w:val="single" w:sz="4" w:space="0" w:color="auto"/>
                          <w:bottom w:val="single" w:sz="4" w:space="0" w:color="auto"/>
                          <w:right w:val="single" w:sz="4" w:space="0" w:color="auto"/>
                        </w:tcBorders>
                        <w:shd w:val="clear" w:color="auto" w:fill="auto"/>
                        <w:noWrap/>
                        <w:textDirection w:val="btLr"/>
                        <w:vAlign w:val="bottom"/>
                        <w:hideMark/>
                      </w:tcPr>
                      <w:p w:rsidR="00136E10" w:rsidRPr="00136E10" w:rsidRDefault="00136E10" w:rsidP="006C04F7">
                        <w:r w:rsidRPr="00136E10">
                          <w:t> </w:t>
                        </w:r>
                      </w:p>
                    </w:tc>
                    <w:tc>
                      <w:tcPr>
                        <w:tcW w:w="893"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r w:rsidRPr="00136E10">
                          <w:t> </w:t>
                        </w:r>
                      </w:p>
                    </w:tc>
                    <w:tc>
                      <w:tcPr>
                        <w:tcW w:w="2552"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r w:rsidRPr="00136E10">
                          <w:t> </w:t>
                        </w:r>
                      </w:p>
                    </w:tc>
                    <w:tc>
                      <w:tcPr>
                        <w:tcW w:w="453"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pPr>
                          <w:jc w:val="center"/>
                        </w:pPr>
                        <w:r w:rsidRPr="00136E10">
                          <w:t>221111</w:t>
                        </w:r>
                      </w:p>
                    </w:tc>
                    <w:tc>
                      <w:tcPr>
                        <w:tcW w:w="379"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pPr>
                          <w:jc w:val="center"/>
                        </w:pPr>
                        <w:r w:rsidRPr="00136E10">
                          <w:t>221112</w:t>
                        </w:r>
                      </w:p>
                    </w:tc>
                    <w:tc>
                      <w:tcPr>
                        <w:tcW w:w="379"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pPr>
                          <w:jc w:val="center"/>
                        </w:pPr>
                        <w:r w:rsidRPr="00136E10">
                          <w:t>221113</w:t>
                        </w:r>
                      </w:p>
                    </w:tc>
                    <w:tc>
                      <w:tcPr>
                        <w:tcW w:w="379"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pPr>
                          <w:jc w:val="center"/>
                        </w:pPr>
                        <w:r w:rsidRPr="00136E10">
                          <w:t>221114</w:t>
                        </w:r>
                      </w:p>
                    </w:tc>
                    <w:tc>
                      <w:tcPr>
                        <w:tcW w:w="379"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pPr>
                          <w:jc w:val="center"/>
                        </w:pPr>
                        <w:r w:rsidRPr="00136E10">
                          <w:t>221115</w:t>
                        </w:r>
                      </w:p>
                    </w:tc>
                    <w:tc>
                      <w:tcPr>
                        <w:tcW w:w="379"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pPr>
                          <w:jc w:val="center"/>
                        </w:pPr>
                        <w:r w:rsidRPr="00136E10">
                          <w:t>221116</w:t>
                        </w:r>
                      </w:p>
                    </w:tc>
                    <w:tc>
                      <w:tcPr>
                        <w:tcW w:w="379"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pPr>
                          <w:jc w:val="center"/>
                        </w:pPr>
                        <w:r w:rsidRPr="00136E10">
                          <w:t>221117</w:t>
                        </w:r>
                      </w:p>
                    </w:tc>
                    <w:tc>
                      <w:tcPr>
                        <w:tcW w:w="379"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pPr>
                          <w:jc w:val="center"/>
                        </w:pPr>
                        <w:r w:rsidRPr="00136E10">
                          <w:t>221118</w:t>
                        </w:r>
                      </w:p>
                    </w:tc>
                    <w:tc>
                      <w:tcPr>
                        <w:tcW w:w="379"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pPr>
                          <w:jc w:val="center"/>
                        </w:pPr>
                        <w:r w:rsidRPr="00136E10">
                          <w:t>221121</w:t>
                        </w:r>
                      </w:p>
                    </w:tc>
                    <w:tc>
                      <w:tcPr>
                        <w:tcW w:w="379"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pPr>
                          <w:jc w:val="center"/>
                        </w:pPr>
                        <w:r w:rsidRPr="00136E10">
                          <w:t>221122</w:t>
                        </w:r>
                      </w:p>
                    </w:tc>
                    <w:tc>
                      <w:tcPr>
                        <w:tcW w:w="379"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pPr>
                          <w:jc w:val="center"/>
                        </w:pPr>
                        <w:r w:rsidRPr="00136E10">
                          <w:t>221210</w:t>
                        </w:r>
                      </w:p>
                    </w:tc>
                    <w:tc>
                      <w:tcPr>
                        <w:tcW w:w="379"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pPr>
                          <w:jc w:val="center"/>
                        </w:pPr>
                        <w:r w:rsidRPr="00136E10">
                          <w:t>221310</w:t>
                        </w:r>
                      </w:p>
                    </w:tc>
                    <w:tc>
                      <w:tcPr>
                        <w:tcW w:w="379"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pPr>
                          <w:jc w:val="center"/>
                        </w:pPr>
                        <w:r w:rsidRPr="00136E10">
                          <w:t>221320</w:t>
                        </w:r>
                      </w:p>
                    </w:tc>
                    <w:tc>
                      <w:tcPr>
                        <w:tcW w:w="383" w:type="dxa"/>
                        <w:tcBorders>
                          <w:top w:val="nil"/>
                          <w:left w:val="nil"/>
                          <w:bottom w:val="single" w:sz="4" w:space="0" w:color="auto"/>
                          <w:right w:val="single" w:sz="4" w:space="0" w:color="auto"/>
                        </w:tcBorders>
                        <w:shd w:val="clear" w:color="auto" w:fill="auto"/>
                        <w:noWrap/>
                        <w:textDirection w:val="btLr"/>
                        <w:vAlign w:val="bottom"/>
                        <w:hideMark/>
                      </w:tcPr>
                      <w:p w:rsidR="00136E10" w:rsidRPr="00136E10" w:rsidRDefault="00136E10" w:rsidP="006C04F7">
                        <w:pPr>
                          <w:jc w:val="center"/>
                        </w:pPr>
                        <w:r w:rsidRPr="00136E10">
                          <w:t>221330</w:t>
                        </w:r>
                      </w:p>
                    </w:tc>
                  </w:tr>
                  <w:tr w:rsidR="00136E10" w:rsidRPr="00136E10" w:rsidTr="006C04F7">
                    <w:trPr>
                      <w:trHeight w:val="300"/>
                    </w:trPr>
                    <w:tc>
                      <w:tcPr>
                        <w:tcW w:w="37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36E10" w:rsidRPr="00136E10" w:rsidRDefault="00136E10" w:rsidP="006C04F7">
                        <w:pPr>
                          <w:jc w:val="center"/>
                        </w:pPr>
                        <w:r w:rsidRPr="00136E10">
                          <w:t>Target (объект сделки)</w:t>
                        </w:r>
                      </w:p>
                    </w:tc>
                    <w:tc>
                      <w:tcPr>
                        <w:tcW w:w="893"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221111</w:t>
                        </w:r>
                      </w:p>
                    </w:tc>
                    <w:tc>
                      <w:tcPr>
                        <w:tcW w:w="2552"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A67B84">
                        <w:pPr>
                          <w:jc w:val="left"/>
                        </w:pPr>
                        <w:r w:rsidRPr="00136E10">
                          <w:t>Производство гидроэле</w:t>
                        </w:r>
                        <w:r w:rsidRPr="00136E10">
                          <w:t>к</w:t>
                        </w:r>
                        <w:r w:rsidRPr="00136E10">
                          <w:t>троэнергии</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rPr>
                            <w:b/>
                          </w:rPr>
                        </w:pPr>
                        <w:r w:rsidRPr="00136E10">
                          <w:rPr>
                            <w:b/>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r>
                  <w:tr w:rsidR="00136E10" w:rsidRPr="00136E10" w:rsidTr="006C04F7">
                    <w:trPr>
                      <w:trHeight w:val="300"/>
                    </w:trPr>
                    <w:tc>
                      <w:tcPr>
                        <w:tcW w:w="378" w:type="dxa"/>
                        <w:vMerge/>
                        <w:tcBorders>
                          <w:top w:val="nil"/>
                          <w:left w:val="single" w:sz="4" w:space="0" w:color="auto"/>
                          <w:bottom w:val="single" w:sz="4" w:space="0" w:color="auto"/>
                          <w:right w:val="single" w:sz="4" w:space="0" w:color="auto"/>
                        </w:tcBorders>
                        <w:vAlign w:val="center"/>
                        <w:hideMark/>
                      </w:tcPr>
                      <w:p w:rsidR="00136E10" w:rsidRPr="00136E10" w:rsidRDefault="00136E10" w:rsidP="006C04F7"/>
                    </w:tc>
                    <w:tc>
                      <w:tcPr>
                        <w:tcW w:w="893"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221112</w:t>
                        </w:r>
                      </w:p>
                    </w:tc>
                    <w:tc>
                      <w:tcPr>
                        <w:tcW w:w="2552"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A67B84">
                        <w:pPr>
                          <w:jc w:val="left"/>
                        </w:pPr>
                        <w:r w:rsidRPr="00136E10">
                          <w:t>Производство электр</w:t>
                        </w:r>
                        <w:r w:rsidRPr="00136E10">
                          <w:t>о</w:t>
                        </w:r>
                        <w:r w:rsidRPr="00136E10">
                          <w:t>энергии на ископаемом топливе</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rPr>
                            <w:b/>
                          </w:rPr>
                        </w:pPr>
                        <w:r w:rsidRPr="00136E10">
                          <w:rPr>
                            <w:b/>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r>
                  <w:tr w:rsidR="00136E10" w:rsidRPr="00136E10" w:rsidTr="006C04F7">
                    <w:trPr>
                      <w:trHeight w:val="300"/>
                    </w:trPr>
                    <w:tc>
                      <w:tcPr>
                        <w:tcW w:w="378" w:type="dxa"/>
                        <w:vMerge/>
                        <w:tcBorders>
                          <w:top w:val="nil"/>
                          <w:left w:val="single" w:sz="4" w:space="0" w:color="auto"/>
                          <w:bottom w:val="single" w:sz="4" w:space="0" w:color="auto"/>
                          <w:right w:val="single" w:sz="4" w:space="0" w:color="auto"/>
                        </w:tcBorders>
                        <w:vAlign w:val="center"/>
                        <w:hideMark/>
                      </w:tcPr>
                      <w:p w:rsidR="00136E10" w:rsidRPr="00136E10" w:rsidRDefault="00136E10" w:rsidP="006C04F7"/>
                    </w:tc>
                    <w:tc>
                      <w:tcPr>
                        <w:tcW w:w="893"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221113</w:t>
                        </w:r>
                      </w:p>
                    </w:tc>
                    <w:tc>
                      <w:tcPr>
                        <w:tcW w:w="2552"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A67B84">
                        <w:pPr>
                          <w:jc w:val="left"/>
                        </w:pPr>
                        <w:r w:rsidRPr="00136E10">
                          <w:t>Атомная электроэнергет</w:t>
                        </w:r>
                        <w:r w:rsidRPr="00136E10">
                          <w:t>и</w:t>
                        </w:r>
                        <w:r w:rsidRPr="00136E10">
                          <w:t>ка</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rPr>
                            <w:b/>
                          </w:rPr>
                        </w:pPr>
                        <w:r w:rsidRPr="00136E10">
                          <w:rPr>
                            <w:b/>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r>
                  <w:tr w:rsidR="00136E10" w:rsidRPr="00136E10" w:rsidTr="006C04F7">
                    <w:trPr>
                      <w:trHeight w:val="300"/>
                    </w:trPr>
                    <w:tc>
                      <w:tcPr>
                        <w:tcW w:w="378" w:type="dxa"/>
                        <w:vMerge/>
                        <w:tcBorders>
                          <w:top w:val="nil"/>
                          <w:left w:val="single" w:sz="4" w:space="0" w:color="auto"/>
                          <w:bottom w:val="single" w:sz="4" w:space="0" w:color="auto"/>
                          <w:right w:val="single" w:sz="4" w:space="0" w:color="auto"/>
                        </w:tcBorders>
                        <w:vAlign w:val="center"/>
                        <w:hideMark/>
                      </w:tcPr>
                      <w:p w:rsidR="00136E10" w:rsidRPr="00136E10" w:rsidRDefault="00136E10" w:rsidP="006C04F7"/>
                    </w:tc>
                    <w:tc>
                      <w:tcPr>
                        <w:tcW w:w="893"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221114</w:t>
                        </w:r>
                      </w:p>
                    </w:tc>
                    <w:tc>
                      <w:tcPr>
                        <w:tcW w:w="2552"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A67B84">
                        <w:pPr>
                          <w:jc w:val="left"/>
                        </w:pPr>
                        <w:r w:rsidRPr="00136E10">
                          <w:t>Производство солнечной электроэнергии</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rPr>
                            <w:b/>
                          </w:rPr>
                        </w:pPr>
                        <w:r w:rsidRPr="00136E10">
                          <w:rPr>
                            <w:b/>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r>
                  <w:tr w:rsidR="00136E10" w:rsidRPr="00136E10" w:rsidTr="006C04F7">
                    <w:trPr>
                      <w:trHeight w:val="300"/>
                    </w:trPr>
                    <w:tc>
                      <w:tcPr>
                        <w:tcW w:w="378" w:type="dxa"/>
                        <w:vMerge/>
                        <w:tcBorders>
                          <w:top w:val="nil"/>
                          <w:left w:val="single" w:sz="4" w:space="0" w:color="auto"/>
                          <w:bottom w:val="single" w:sz="4" w:space="0" w:color="auto"/>
                          <w:right w:val="single" w:sz="4" w:space="0" w:color="auto"/>
                        </w:tcBorders>
                        <w:vAlign w:val="center"/>
                        <w:hideMark/>
                      </w:tcPr>
                      <w:p w:rsidR="00136E10" w:rsidRPr="00136E10" w:rsidRDefault="00136E10" w:rsidP="006C04F7"/>
                    </w:tc>
                    <w:tc>
                      <w:tcPr>
                        <w:tcW w:w="893"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221115</w:t>
                        </w:r>
                      </w:p>
                    </w:tc>
                    <w:tc>
                      <w:tcPr>
                        <w:tcW w:w="2552"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A67B84">
                        <w:pPr>
                          <w:jc w:val="left"/>
                        </w:pPr>
                        <w:r w:rsidRPr="00136E10">
                          <w:t>Производство ветровой электроэнергии</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rPr>
                            <w:b/>
                          </w:rPr>
                        </w:pPr>
                        <w:r w:rsidRPr="00136E10">
                          <w:rPr>
                            <w:b/>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r>
                  <w:tr w:rsidR="00136E10" w:rsidRPr="00136E10" w:rsidTr="006C04F7">
                    <w:trPr>
                      <w:trHeight w:val="300"/>
                    </w:trPr>
                    <w:tc>
                      <w:tcPr>
                        <w:tcW w:w="378" w:type="dxa"/>
                        <w:vMerge/>
                        <w:tcBorders>
                          <w:top w:val="nil"/>
                          <w:left w:val="single" w:sz="4" w:space="0" w:color="auto"/>
                          <w:bottom w:val="single" w:sz="4" w:space="0" w:color="auto"/>
                          <w:right w:val="single" w:sz="4" w:space="0" w:color="auto"/>
                        </w:tcBorders>
                        <w:vAlign w:val="center"/>
                        <w:hideMark/>
                      </w:tcPr>
                      <w:p w:rsidR="00136E10" w:rsidRPr="00136E10" w:rsidRDefault="00136E10" w:rsidP="006C04F7"/>
                    </w:tc>
                    <w:tc>
                      <w:tcPr>
                        <w:tcW w:w="893"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221116</w:t>
                        </w:r>
                      </w:p>
                    </w:tc>
                    <w:tc>
                      <w:tcPr>
                        <w:tcW w:w="2552"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A67B84">
                        <w:pPr>
                          <w:jc w:val="left"/>
                        </w:pPr>
                        <w:r w:rsidRPr="00136E10">
                          <w:t>Производство геотермал</w:t>
                        </w:r>
                        <w:r w:rsidRPr="00136E10">
                          <w:t>ь</w:t>
                        </w:r>
                        <w:r w:rsidRPr="00136E10">
                          <w:t>ной электроэнергии</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rPr>
                            <w:b/>
                          </w:rPr>
                        </w:pPr>
                        <w:r w:rsidRPr="00136E10">
                          <w:rPr>
                            <w:b/>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r>
                  <w:tr w:rsidR="00136E10" w:rsidRPr="00136E10" w:rsidTr="006C04F7">
                    <w:trPr>
                      <w:trHeight w:val="300"/>
                    </w:trPr>
                    <w:tc>
                      <w:tcPr>
                        <w:tcW w:w="378" w:type="dxa"/>
                        <w:vMerge/>
                        <w:tcBorders>
                          <w:top w:val="nil"/>
                          <w:left w:val="single" w:sz="4" w:space="0" w:color="auto"/>
                          <w:bottom w:val="single" w:sz="4" w:space="0" w:color="auto"/>
                          <w:right w:val="single" w:sz="4" w:space="0" w:color="auto"/>
                        </w:tcBorders>
                        <w:vAlign w:val="center"/>
                        <w:hideMark/>
                      </w:tcPr>
                      <w:p w:rsidR="00136E10" w:rsidRPr="00136E10" w:rsidRDefault="00136E10" w:rsidP="006C04F7"/>
                    </w:tc>
                    <w:tc>
                      <w:tcPr>
                        <w:tcW w:w="893"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221117</w:t>
                        </w:r>
                      </w:p>
                    </w:tc>
                    <w:tc>
                      <w:tcPr>
                        <w:tcW w:w="2552"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A67B84">
                        <w:pPr>
                          <w:jc w:val="left"/>
                        </w:pPr>
                        <w:r w:rsidRPr="00136E10">
                          <w:t>Производство электр</w:t>
                        </w:r>
                        <w:r w:rsidRPr="00136E10">
                          <w:t>о</w:t>
                        </w:r>
                        <w:r w:rsidRPr="00136E10">
                          <w:t>энергии из биомассы</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rPr>
                            <w:b/>
                          </w:rPr>
                        </w:pPr>
                        <w:r w:rsidRPr="00136E10">
                          <w:rPr>
                            <w:b/>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r>
                  <w:tr w:rsidR="00136E10" w:rsidRPr="00136E10" w:rsidTr="006C04F7">
                    <w:trPr>
                      <w:trHeight w:val="300"/>
                    </w:trPr>
                    <w:tc>
                      <w:tcPr>
                        <w:tcW w:w="378" w:type="dxa"/>
                        <w:vMerge/>
                        <w:tcBorders>
                          <w:top w:val="nil"/>
                          <w:left w:val="single" w:sz="4" w:space="0" w:color="auto"/>
                          <w:bottom w:val="single" w:sz="4" w:space="0" w:color="auto"/>
                          <w:right w:val="single" w:sz="4" w:space="0" w:color="auto"/>
                        </w:tcBorders>
                        <w:vAlign w:val="center"/>
                        <w:hideMark/>
                      </w:tcPr>
                      <w:p w:rsidR="00136E10" w:rsidRPr="00136E10" w:rsidRDefault="00136E10" w:rsidP="006C04F7"/>
                    </w:tc>
                    <w:tc>
                      <w:tcPr>
                        <w:tcW w:w="893"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221118</w:t>
                        </w:r>
                      </w:p>
                    </w:tc>
                    <w:tc>
                      <w:tcPr>
                        <w:tcW w:w="2552"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A67B84">
                        <w:pPr>
                          <w:jc w:val="left"/>
                        </w:pPr>
                        <w:r w:rsidRPr="00136E10">
                          <w:t>Другое производство эле</w:t>
                        </w:r>
                        <w:r w:rsidRPr="00136E10">
                          <w:t>к</w:t>
                        </w:r>
                        <w:r w:rsidRPr="00136E10">
                          <w:t>троэнергии</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3</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rPr>
                            <w:b/>
                          </w:rPr>
                        </w:pPr>
                        <w:r w:rsidRPr="00136E10">
                          <w:rPr>
                            <w:b/>
                          </w:rPr>
                          <w:t>1</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r>
                  <w:tr w:rsidR="00136E10" w:rsidRPr="00136E10" w:rsidTr="006C04F7">
                    <w:trPr>
                      <w:trHeight w:val="300"/>
                    </w:trPr>
                    <w:tc>
                      <w:tcPr>
                        <w:tcW w:w="378" w:type="dxa"/>
                        <w:vMerge/>
                        <w:tcBorders>
                          <w:top w:val="nil"/>
                          <w:left w:val="single" w:sz="4" w:space="0" w:color="auto"/>
                          <w:bottom w:val="single" w:sz="4" w:space="0" w:color="auto"/>
                          <w:right w:val="single" w:sz="4" w:space="0" w:color="auto"/>
                        </w:tcBorders>
                        <w:vAlign w:val="center"/>
                        <w:hideMark/>
                      </w:tcPr>
                      <w:p w:rsidR="00136E10" w:rsidRPr="00136E10" w:rsidRDefault="00136E10" w:rsidP="006C04F7"/>
                    </w:tc>
                    <w:tc>
                      <w:tcPr>
                        <w:tcW w:w="893"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221121</w:t>
                        </w:r>
                      </w:p>
                    </w:tc>
                    <w:tc>
                      <w:tcPr>
                        <w:tcW w:w="2552"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A67B84">
                        <w:pPr>
                          <w:jc w:val="left"/>
                        </w:pPr>
                        <w:r w:rsidRPr="00136E10">
                          <w:t>Передача и управление электрической энергией</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rPr>
                            <w:b/>
                          </w:rPr>
                        </w:pPr>
                        <w:r w:rsidRPr="00136E10">
                          <w:rPr>
                            <w:b/>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r>
                  <w:tr w:rsidR="00136E10" w:rsidRPr="00136E10" w:rsidTr="006C04F7">
                    <w:trPr>
                      <w:trHeight w:val="300"/>
                    </w:trPr>
                    <w:tc>
                      <w:tcPr>
                        <w:tcW w:w="378" w:type="dxa"/>
                        <w:vMerge/>
                        <w:tcBorders>
                          <w:top w:val="nil"/>
                          <w:left w:val="single" w:sz="4" w:space="0" w:color="auto"/>
                          <w:bottom w:val="single" w:sz="4" w:space="0" w:color="auto"/>
                          <w:right w:val="single" w:sz="4" w:space="0" w:color="auto"/>
                        </w:tcBorders>
                        <w:vAlign w:val="center"/>
                        <w:hideMark/>
                      </w:tcPr>
                      <w:p w:rsidR="00136E10" w:rsidRPr="00136E10" w:rsidRDefault="00136E10" w:rsidP="006C04F7"/>
                    </w:tc>
                    <w:tc>
                      <w:tcPr>
                        <w:tcW w:w="893"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221122</w:t>
                        </w:r>
                      </w:p>
                    </w:tc>
                    <w:tc>
                      <w:tcPr>
                        <w:tcW w:w="2552"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A67B84">
                        <w:pPr>
                          <w:jc w:val="left"/>
                        </w:pPr>
                        <w:r w:rsidRPr="00136E10">
                          <w:t>Распределение электр</w:t>
                        </w:r>
                        <w:r w:rsidRPr="00136E10">
                          <w:t>о</w:t>
                        </w:r>
                        <w:r w:rsidRPr="00136E10">
                          <w:t>энергии</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rPr>
                            <w:b/>
                          </w:rPr>
                        </w:pPr>
                        <w:r w:rsidRPr="00136E10">
                          <w:rPr>
                            <w:b/>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r>
                  <w:tr w:rsidR="00136E10" w:rsidRPr="00136E10" w:rsidTr="006C04F7">
                    <w:trPr>
                      <w:trHeight w:val="300"/>
                    </w:trPr>
                    <w:tc>
                      <w:tcPr>
                        <w:tcW w:w="378" w:type="dxa"/>
                        <w:vMerge/>
                        <w:tcBorders>
                          <w:top w:val="nil"/>
                          <w:left w:val="single" w:sz="4" w:space="0" w:color="auto"/>
                          <w:bottom w:val="single" w:sz="4" w:space="0" w:color="auto"/>
                          <w:right w:val="single" w:sz="4" w:space="0" w:color="auto"/>
                        </w:tcBorders>
                        <w:vAlign w:val="center"/>
                        <w:hideMark/>
                      </w:tcPr>
                      <w:p w:rsidR="00136E10" w:rsidRPr="00136E10" w:rsidRDefault="00136E10" w:rsidP="006C04F7"/>
                    </w:tc>
                    <w:tc>
                      <w:tcPr>
                        <w:tcW w:w="893"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221210</w:t>
                        </w:r>
                      </w:p>
                    </w:tc>
                    <w:tc>
                      <w:tcPr>
                        <w:tcW w:w="2552"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A67B84">
                        <w:pPr>
                          <w:jc w:val="left"/>
                        </w:pPr>
                        <w:r w:rsidRPr="00136E10">
                          <w:t>Распределение природного газа</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rPr>
                            <w:b/>
                          </w:rPr>
                        </w:pPr>
                        <w:r w:rsidRPr="00136E10">
                          <w:rPr>
                            <w:b/>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r>
                  <w:tr w:rsidR="00136E10" w:rsidRPr="00136E10" w:rsidTr="006C04F7">
                    <w:trPr>
                      <w:trHeight w:val="300"/>
                    </w:trPr>
                    <w:tc>
                      <w:tcPr>
                        <w:tcW w:w="378" w:type="dxa"/>
                        <w:vMerge/>
                        <w:tcBorders>
                          <w:top w:val="nil"/>
                          <w:left w:val="single" w:sz="4" w:space="0" w:color="auto"/>
                          <w:bottom w:val="single" w:sz="4" w:space="0" w:color="auto"/>
                          <w:right w:val="single" w:sz="4" w:space="0" w:color="auto"/>
                        </w:tcBorders>
                        <w:vAlign w:val="center"/>
                        <w:hideMark/>
                      </w:tcPr>
                      <w:p w:rsidR="00136E10" w:rsidRPr="00136E10" w:rsidRDefault="00136E10" w:rsidP="006C04F7"/>
                    </w:tc>
                    <w:tc>
                      <w:tcPr>
                        <w:tcW w:w="893"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221310</w:t>
                        </w:r>
                      </w:p>
                    </w:tc>
                    <w:tc>
                      <w:tcPr>
                        <w:tcW w:w="2552"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A67B84">
                        <w:pPr>
                          <w:jc w:val="left"/>
                          <w:rPr>
                            <w:lang w:val="en-US"/>
                          </w:rPr>
                        </w:pPr>
                        <w:r w:rsidRPr="00136E10">
                          <w:t>Системы водоснабжения и орошения</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rPr>
                            <w:b/>
                          </w:rPr>
                        </w:pPr>
                        <w:r w:rsidRPr="00136E10">
                          <w:rPr>
                            <w:b/>
                          </w:rPr>
                          <w:t>2</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5</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r>
                  <w:tr w:rsidR="00136E10" w:rsidRPr="00136E10" w:rsidTr="006C04F7">
                    <w:trPr>
                      <w:trHeight w:val="300"/>
                    </w:trPr>
                    <w:tc>
                      <w:tcPr>
                        <w:tcW w:w="378" w:type="dxa"/>
                        <w:vMerge/>
                        <w:tcBorders>
                          <w:top w:val="nil"/>
                          <w:left w:val="single" w:sz="4" w:space="0" w:color="auto"/>
                          <w:bottom w:val="single" w:sz="4" w:space="0" w:color="auto"/>
                          <w:right w:val="single" w:sz="4" w:space="0" w:color="auto"/>
                        </w:tcBorders>
                        <w:vAlign w:val="center"/>
                        <w:hideMark/>
                      </w:tcPr>
                      <w:p w:rsidR="00136E10" w:rsidRPr="00136E10" w:rsidRDefault="00136E10" w:rsidP="006C04F7"/>
                    </w:tc>
                    <w:tc>
                      <w:tcPr>
                        <w:tcW w:w="893"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221320</w:t>
                        </w:r>
                      </w:p>
                    </w:tc>
                    <w:tc>
                      <w:tcPr>
                        <w:tcW w:w="2552"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r w:rsidRPr="00136E10">
                          <w:t>Очистные сооружения</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4</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rPr>
                            <w:b/>
                          </w:rPr>
                        </w:pPr>
                        <w:r w:rsidRPr="00136E10">
                          <w:rPr>
                            <w:b/>
                          </w:rPr>
                          <w:t>2</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r>
                  <w:tr w:rsidR="00136E10" w:rsidRPr="00136E10" w:rsidTr="006C04F7">
                    <w:trPr>
                      <w:trHeight w:val="300"/>
                    </w:trPr>
                    <w:tc>
                      <w:tcPr>
                        <w:tcW w:w="378" w:type="dxa"/>
                        <w:vMerge/>
                        <w:tcBorders>
                          <w:top w:val="nil"/>
                          <w:left w:val="single" w:sz="4" w:space="0" w:color="auto"/>
                          <w:bottom w:val="single" w:sz="4" w:space="0" w:color="auto"/>
                          <w:right w:val="single" w:sz="4" w:space="0" w:color="auto"/>
                        </w:tcBorders>
                        <w:vAlign w:val="center"/>
                        <w:hideMark/>
                      </w:tcPr>
                      <w:p w:rsidR="00136E10" w:rsidRPr="00136E10" w:rsidRDefault="00136E10" w:rsidP="006C04F7"/>
                    </w:tc>
                    <w:tc>
                      <w:tcPr>
                        <w:tcW w:w="893"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221330</w:t>
                        </w:r>
                      </w:p>
                    </w:tc>
                    <w:tc>
                      <w:tcPr>
                        <w:tcW w:w="2552" w:type="dxa"/>
                        <w:tcBorders>
                          <w:top w:val="nil"/>
                          <w:left w:val="nil"/>
                          <w:bottom w:val="single" w:sz="4" w:space="0" w:color="auto"/>
                          <w:right w:val="single" w:sz="4" w:space="0" w:color="auto"/>
                        </w:tcBorders>
                        <w:shd w:val="clear" w:color="auto" w:fill="auto"/>
                        <w:noWrap/>
                        <w:vAlign w:val="bottom"/>
                        <w:hideMark/>
                      </w:tcPr>
                      <w:p w:rsidR="00136E10" w:rsidRPr="00136E10" w:rsidRDefault="00136E10" w:rsidP="006C04F7">
                        <w:pPr>
                          <w:rPr>
                            <w:lang w:val="en-US"/>
                          </w:rPr>
                        </w:pPr>
                        <w:r w:rsidRPr="00136E10">
                          <w:t>Подача пара и кондици</w:t>
                        </w:r>
                        <w:r w:rsidRPr="00136E10">
                          <w:t>о</w:t>
                        </w:r>
                        <w:r w:rsidRPr="00136E10">
                          <w:t>нирования</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pPr>
                        <w:r w:rsidRPr="00136E10">
                          <w:t>6</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E10" w:rsidRPr="00136E10" w:rsidRDefault="00136E10" w:rsidP="006C04F7">
                        <w:pPr>
                          <w:jc w:val="right"/>
                          <w:rPr>
                            <w:b/>
                          </w:rPr>
                        </w:pPr>
                        <w:r w:rsidRPr="00136E10">
                          <w:rPr>
                            <w:b/>
                          </w:rPr>
                          <w:t>2</w:t>
                        </w:r>
                      </w:p>
                    </w:tc>
                  </w:tr>
                </w:tbl>
                <w:p w:rsidR="00136E10" w:rsidRPr="00136E10" w:rsidRDefault="00136E10" w:rsidP="00136E10">
                  <w:pPr>
                    <w:ind w:firstLine="397"/>
                  </w:pPr>
                </w:p>
                <w:p w:rsidR="00136E10" w:rsidRDefault="00136E10"/>
              </w:txbxContent>
            </v:textbox>
          </v:shape>
        </w:pict>
      </w:r>
    </w:p>
    <w:p w:rsidR="00A67B84" w:rsidRDefault="00A67B84">
      <w:pPr>
        <w:autoSpaceDE/>
        <w:autoSpaceDN/>
        <w:jc w:val="left"/>
      </w:pPr>
      <w:r>
        <w:br w:type="page"/>
      </w:r>
    </w:p>
    <w:p w:rsidR="00A67B84" w:rsidRPr="00BC27B3" w:rsidRDefault="00F5713B" w:rsidP="00A67B84">
      <w:r>
        <w:rPr>
          <w:noProof/>
        </w:rPr>
        <w:lastRenderedPageBreak/>
        <w:pict>
          <v:shape id="_x0000_s1430" type="#_x0000_t202" style="position:absolute;left:0;text-align:left;margin-left:-.6pt;margin-top:10.75pt;width:465.35pt;height:662.25pt;z-index:251664384" stroked="f">
            <v:textbox style="mso-next-textbox:#_x0000_s1430">
              <w:txbxContent>
                <w:p w:rsidR="00A67B84" w:rsidRPr="00136E10" w:rsidRDefault="00A67B84" w:rsidP="00A67B84">
                  <w:pPr>
                    <w:jc w:val="right"/>
                    <w:rPr>
                      <w:rFonts w:ascii="Arial" w:hAnsi="Arial" w:cs="Arial"/>
                      <w:b/>
                      <w:bCs/>
                      <w:sz w:val="16"/>
                    </w:rPr>
                  </w:pPr>
                  <w:r w:rsidRPr="00136E10">
                    <w:rPr>
                      <w:rFonts w:ascii="Arial" w:hAnsi="Arial" w:cs="Arial"/>
                      <w:b/>
                      <w:bCs/>
                      <w:sz w:val="16"/>
                    </w:rPr>
                    <w:t>Таблица 3</w:t>
                  </w:r>
                </w:p>
                <w:p w:rsidR="00A67B84" w:rsidRPr="00136E10" w:rsidRDefault="00A67B84" w:rsidP="00A67B84">
                  <w:pPr>
                    <w:spacing w:after="120"/>
                    <w:jc w:val="center"/>
                    <w:rPr>
                      <w:rFonts w:ascii="Arial" w:hAnsi="Arial" w:cs="Arial"/>
                      <w:b/>
                      <w:bCs/>
                      <w:sz w:val="16"/>
                    </w:rPr>
                  </w:pPr>
                  <w:r w:rsidRPr="00136E10">
                    <w:rPr>
                      <w:rFonts w:ascii="Arial" w:hAnsi="Arial" w:cs="Arial"/>
                      <w:b/>
                      <w:bCs/>
                      <w:sz w:val="16"/>
                    </w:rPr>
                    <w:t xml:space="preserve">Критерии отнесения сделок слияний и поглощений к стратегиям 7–11 </w:t>
                  </w:r>
                  <w:r>
                    <w:rPr>
                      <w:rFonts w:ascii="Arial" w:hAnsi="Arial" w:cs="Arial"/>
                      <w:b/>
                      <w:bCs/>
                      <w:sz w:val="16"/>
                    </w:rPr>
                    <w:br/>
                    <w:t>(</w:t>
                  </w:r>
                  <w:r w:rsidRPr="00136E10">
                    <w:rPr>
                      <w:rFonts w:ascii="Arial" w:hAnsi="Arial" w:cs="Arial"/>
                      <w:b/>
                      <w:bCs/>
                      <w:sz w:val="16"/>
                    </w:rPr>
                    <w:t>один из участников сделки не относится к исследуемой отрасли)</w:t>
                  </w:r>
                </w:p>
                <w:tbl>
                  <w:tblPr>
                    <w:tblStyle w:val="affe"/>
                    <w:tblW w:w="5000" w:type="pct"/>
                    <w:jc w:val="center"/>
                    <w:tblLook w:val="04A0"/>
                  </w:tblPr>
                  <w:tblGrid>
                    <w:gridCol w:w="842"/>
                    <w:gridCol w:w="2716"/>
                    <w:gridCol w:w="2765"/>
                    <w:gridCol w:w="2767"/>
                  </w:tblGrid>
                  <w:tr w:rsidR="00A67B84" w:rsidRPr="00136E10" w:rsidTr="00136E10">
                    <w:trPr>
                      <w:jc w:val="center"/>
                    </w:trPr>
                    <w:tc>
                      <w:tcPr>
                        <w:tcW w:w="463" w:type="pct"/>
                        <w:tcMar>
                          <w:left w:w="28" w:type="dxa"/>
                          <w:right w:w="28" w:type="dxa"/>
                        </w:tcMar>
                      </w:tcPr>
                      <w:p w:rsidR="00A67B84" w:rsidRPr="00136E10" w:rsidRDefault="00A67B84" w:rsidP="006C04F7">
                        <w:pPr>
                          <w:jc w:val="center"/>
                        </w:pPr>
                        <w:r w:rsidRPr="00136E10">
                          <w:t>Номер</w:t>
                        </w:r>
                      </w:p>
                    </w:tc>
                    <w:tc>
                      <w:tcPr>
                        <w:tcW w:w="1494" w:type="pct"/>
                        <w:tcMar>
                          <w:left w:w="28" w:type="dxa"/>
                          <w:right w:w="28" w:type="dxa"/>
                        </w:tcMar>
                      </w:tcPr>
                      <w:p w:rsidR="00A67B84" w:rsidRPr="00136E10" w:rsidRDefault="00A67B84" w:rsidP="006C04F7">
                        <w:pPr>
                          <w:jc w:val="center"/>
                        </w:pPr>
                        <w:r w:rsidRPr="00136E10">
                          <w:t>Название стратегии</w:t>
                        </w:r>
                      </w:p>
                    </w:tc>
                    <w:tc>
                      <w:tcPr>
                        <w:tcW w:w="1521" w:type="pct"/>
                        <w:tcMar>
                          <w:left w:w="28" w:type="dxa"/>
                          <w:right w:w="28" w:type="dxa"/>
                        </w:tcMar>
                      </w:tcPr>
                      <w:p w:rsidR="00A67B84" w:rsidRPr="00136E10" w:rsidRDefault="00A67B84" w:rsidP="006C04F7">
                        <w:pPr>
                          <w:jc w:val="center"/>
                        </w:pPr>
                        <w:r w:rsidRPr="00136E10">
                          <w:t>Объект (цель) сделки</w:t>
                        </w:r>
                      </w:p>
                    </w:tc>
                    <w:tc>
                      <w:tcPr>
                        <w:tcW w:w="1521" w:type="pct"/>
                        <w:tcMar>
                          <w:left w:w="28" w:type="dxa"/>
                          <w:right w:w="28" w:type="dxa"/>
                        </w:tcMar>
                      </w:tcPr>
                      <w:p w:rsidR="00A67B84" w:rsidRPr="00136E10" w:rsidRDefault="00A67B84" w:rsidP="006C04F7">
                        <w:pPr>
                          <w:jc w:val="center"/>
                        </w:pPr>
                        <w:r w:rsidRPr="00136E10">
                          <w:t>Инициатор сделки</w:t>
                        </w:r>
                      </w:p>
                    </w:tc>
                  </w:tr>
                  <w:tr w:rsidR="00A67B84" w:rsidRPr="00136E10" w:rsidTr="00136E10">
                    <w:trPr>
                      <w:jc w:val="center"/>
                    </w:trPr>
                    <w:tc>
                      <w:tcPr>
                        <w:tcW w:w="463" w:type="pct"/>
                        <w:tcMar>
                          <w:left w:w="28" w:type="dxa"/>
                          <w:right w:w="28" w:type="dxa"/>
                        </w:tcMar>
                      </w:tcPr>
                      <w:p w:rsidR="00A67B84" w:rsidRPr="00136E10" w:rsidRDefault="00A67B84" w:rsidP="006C04F7">
                        <w:pPr>
                          <w:jc w:val="center"/>
                        </w:pPr>
                        <w:r w:rsidRPr="00136E10">
                          <w:t>7</w:t>
                        </w:r>
                      </w:p>
                    </w:tc>
                    <w:tc>
                      <w:tcPr>
                        <w:tcW w:w="1494" w:type="pct"/>
                        <w:tcMar>
                          <w:left w:w="28" w:type="dxa"/>
                          <w:right w:w="28" w:type="dxa"/>
                        </w:tcMar>
                      </w:tcPr>
                      <w:p w:rsidR="00A67B84" w:rsidRPr="00136E10" w:rsidRDefault="00A67B84" w:rsidP="00136E10">
                        <w:pPr>
                          <w:jc w:val="left"/>
                        </w:pPr>
                        <w:r w:rsidRPr="00136E10">
                          <w:t>Вертикальная интеграция «н</w:t>
                        </w:r>
                        <w:r w:rsidRPr="00136E10">
                          <w:t>а</w:t>
                        </w:r>
                        <w:r w:rsidRPr="00136E10">
                          <w:t>зад» вне отрасли (кроме ф</w:t>
                        </w:r>
                        <w:r w:rsidRPr="00136E10">
                          <w:t>и</w:t>
                        </w:r>
                        <w:r w:rsidRPr="00136E10">
                          <w:t>нансов)</w:t>
                        </w:r>
                      </w:p>
                    </w:tc>
                    <w:tc>
                      <w:tcPr>
                        <w:tcW w:w="1521" w:type="pct"/>
                        <w:tcMar>
                          <w:left w:w="28" w:type="dxa"/>
                          <w:right w:w="28" w:type="dxa"/>
                        </w:tcMar>
                      </w:tcPr>
                      <w:p w:rsidR="00A67B84" w:rsidRPr="00136E10" w:rsidRDefault="00A67B84" w:rsidP="00136E10">
                        <w:pPr>
                          <w:jc w:val="left"/>
                        </w:pPr>
                        <w:r w:rsidRPr="00136E10">
                          <w:t>Перечень отраслей предста</w:t>
                        </w:r>
                        <w:r w:rsidRPr="00136E10">
                          <w:t>в</w:t>
                        </w:r>
                        <w:r w:rsidRPr="00136E10">
                          <w:t>лен под таблицей*</w:t>
                        </w:r>
                      </w:p>
                    </w:tc>
                    <w:tc>
                      <w:tcPr>
                        <w:tcW w:w="1521" w:type="pct"/>
                        <w:tcMar>
                          <w:left w:w="28" w:type="dxa"/>
                          <w:right w:w="28" w:type="dxa"/>
                        </w:tcMar>
                      </w:tcPr>
                      <w:p w:rsidR="00A67B84" w:rsidRPr="00136E10" w:rsidRDefault="00A67B84" w:rsidP="00136E10">
                        <w:pPr>
                          <w:jc w:val="left"/>
                          <w:rPr>
                            <w:strike/>
                          </w:rPr>
                        </w:pPr>
                        <w:r w:rsidRPr="00136E10">
                          <w:t xml:space="preserve">Производство и распределение электроэнергии, газа и воды </w:t>
                        </w:r>
                      </w:p>
                    </w:tc>
                  </w:tr>
                  <w:tr w:rsidR="00A67B84" w:rsidRPr="00136E10" w:rsidTr="00136E10">
                    <w:trPr>
                      <w:jc w:val="center"/>
                    </w:trPr>
                    <w:tc>
                      <w:tcPr>
                        <w:tcW w:w="463" w:type="pct"/>
                        <w:tcMar>
                          <w:left w:w="28" w:type="dxa"/>
                          <w:right w:w="28" w:type="dxa"/>
                        </w:tcMar>
                      </w:tcPr>
                      <w:p w:rsidR="00A67B84" w:rsidRPr="00136E10" w:rsidRDefault="00A67B84" w:rsidP="006C04F7">
                        <w:pPr>
                          <w:jc w:val="center"/>
                        </w:pPr>
                        <w:r w:rsidRPr="00136E10">
                          <w:t>8</w:t>
                        </w:r>
                      </w:p>
                    </w:tc>
                    <w:tc>
                      <w:tcPr>
                        <w:tcW w:w="1494" w:type="pct"/>
                        <w:tcMar>
                          <w:left w:w="28" w:type="dxa"/>
                          <w:right w:w="28" w:type="dxa"/>
                        </w:tcMar>
                      </w:tcPr>
                      <w:p w:rsidR="00A67B84" w:rsidRPr="00136E10" w:rsidRDefault="00A67B84" w:rsidP="00136E10">
                        <w:pPr>
                          <w:jc w:val="left"/>
                        </w:pPr>
                        <w:r w:rsidRPr="00136E10">
                          <w:t>Вертикальная интеграция «вперед» вне отрасли (кроме финансов)</w:t>
                        </w:r>
                      </w:p>
                    </w:tc>
                    <w:tc>
                      <w:tcPr>
                        <w:tcW w:w="1521" w:type="pct"/>
                        <w:tcMar>
                          <w:left w:w="28" w:type="dxa"/>
                          <w:right w:w="28" w:type="dxa"/>
                        </w:tcMar>
                      </w:tcPr>
                      <w:p w:rsidR="00A67B84" w:rsidRPr="00136E10" w:rsidRDefault="00A67B84" w:rsidP="00136E10">
                        <w:pPr>
                          <w:jc w:val="left"/>
                        </w:pPr>
                        <w:r w:rsidRPr="00136E10">
                          <w:t>Производство и распределение электроэнергии, газа и воды</w:t>
                        </w:r>
                      </w:p>
                    </w:tc>
                    <w:tc>
                      <w:tcPr>
                        <w:tcW w:w="1521" w:type="pct"/>
                        <w:tcMar>
                          <w:left w:w="28" w:type="dxa"/>
                          <w:right w:w="28" w:type="dxa"/>
                        </w:tcMar>
                      </w:tcPr>
                      <w:p w:rsidR="00A67B84" w:rsidRPr="00136E10" w:rsidRDefault="00A67B84" w:rsidP="00136E10">
                        <w:pPr>
                          <w:jc w:val="left"/>
                        </w:pPr>
                        <w:r w:rsidRPr="00136E10">
                          <w:t>Перечень отраслей предста</w:t>
                        </w:r>
                        <w:r w:rsidRPr="00136E10">
                          <w:t>в</w:t>
                        </w:r>
                        <w:r w:rsidRPr="00136E10">
                          <w:t>лен под таблицей*</w:t>
                        </w:r>
                      </w:p>
                    </w:tc>
                  </w:tr>
                  <w:tr w:rsidR="00A67B84" w:rsidRPr="00136E10" w:rsidTr="00136E10">
                    <w:trPr>
                      <w:jc w:val="center"/>
                    </w:trPr>
                    <w:tc>
                      <w:tcPr>
                        <w:tcW w:w="463" w:type="pct"/>
                        <w:vMerge w:val="restart"/>
                        <w:tcMar>
                          <w:left w:w="28" w:type="dxa"/>
                          <w:right w:w="28" w:type="dxa"/>
                        </w:tcMar>
                      </w:tcPr>
                      <w:p w:rsidR="00A67B84" w:rsidRPr="00136E10" w:rsidRDefault="00A67B84" w:rsidP="006C04F7">
                        <w:pPr>
                          <w:jc w:val="center"/>
                        </w:pPr>
                        <w:r w:rsidRPr="00136E10">
                          <w:t>9</w:t>
                        </w:r>
                      </w:p>
                    </w:tc>
                    <w:tc>
                      <w:tcPr>
                        <w:tcW w:w="1494" w:type="pct"/>
                        <w:vMerge w:val="restart"/>
                        <w:tcMar>
                          <w:left w:w="28" w:type="dxa"/>
                          <w:right w:w="28" w:type="dxa"/>
                        </w:tcMar>
                      </w:tcPr>
                      <w:p w:rsidR="00A67B84" w:rsidRPr="00136E10" w:rsidRDefault="00A67B84" w:rsidP="00136E10">
                        <w:pPr>
                          <w:jc w:val="left"/>
                        </w:pPr>
                        <w:r w:rsidRPr="00136E10">
                          <w:t>Несвязанная диверсификация вне отрасли</w:t>
                        </w:r>
                      </w:p>
                    </w:tc>
                    <w:tc>
                      <w:tcPr>
                        <w:tcW w:w="1521" w:type="pct"/>
                        <w:tcMar>
                          <w:left w:w="28" w:type="dxa"/>
                          <w:right w:w="28" w:type="dxa"/>
                        </w:tcMar>
                      </w:tcPr>
                      <w:p w:rsidR="00A67B84" w:rsidRPr="00136E10" w:rsidRDefault="00A67B84" w:rsidP="00136E10">
                        <w:pPr>
                          <w:jc w:val="left"/>
                        </w:pPr>
                        <w:r w:rsidRPr="00136E10">
                          <w:t>Производство и распределение электроэнергии, газа и воды</w:t>
                        </w:r>
                      </w:p>
                    </w:tc>
                    <w:tc>
                      <w:tcPr>
                        <w:tcW w:w="1521" w:type="pct"/>
                        <w:tcMar>
                          <w:left w:w="28" w:type="dxa"/>
                          <w:right w:w="28" w:type="dxa"/>
                        </w:tcMar>
                      </w:tcPr>
                      <w:p w:rsidR="00A67B84" w:rsidRPr="00136E10" w:rsidRDefault="00A67B84" w:rsidP="00136E10">
                        <w:pPr>
                          <w:jc w:val="left"/>
                        </w:pPr>
                        <w:r w:rsidRPr="00136E10">
                          <w:t>Любая отрасль, не относящаяся в коду 22</w:t>
                        </w:r>
                      </w:p>
                    </w:tc>
                  </w:tr>
                  <w:tr w:rsidR="00A67B84" w:rsidRPr="00136E10" w:rsidTr="00136E10">
                    <w:trPr>
                      <w:jc w:val="center"/>
                    </w:trPr>
                    <w:tc>
                      <w:tcPr>
                        <w:tcW w:w="463" w:type="pct"/>
                        <w:vMerge/>
                        <w:tcMar>
                          <w:left w:w="28" w:type="dxa"/>
                          <w:right w:w="28" w:type="dxa"/>
                        </w:tcMar>
                      </w:tcPr>
                      <w:p w:rsidR="00A67B84" w:rsidRPr="00136E10" w:rsidRDefault="00A67B84" w:rsidP="006C04F7">
                        <w:pPr>
                          <w:jc w:val="center"/>
                        </w:pPr>
                      </w:p>
                    </w:tc>
                    <w:tc>
                      <w:tcPr>
                        <w:tcW w:w="1494" w:type="pct"/>
                        <w:vMerge/>
                        <w:tcMar>
                          <w:left w:w="28" w:type="dxa"/>
                          <w:right w:w="28" w:type="dxa"/>
                        </w:tcMar>
                      </w:tcPr>
                      <w:p w:rsidR="00A67B84" w:rsidRPr="00136E10" w:rsidRDefault="00A67B84" w:rsidP="00136E10">
                        <w:pPr>
                          <w:jc w:val="left"/>
                        </w:pPr>
                      </w:p>
                    </w:tc>
                    <w:tc>
                      <w:tcPr>
                        <w:tcW w:w="1521" w:type="pct"/>
                        <w:tcMar>
                          <w:left w:w="28" w:type="dxa"/>
                          <w:right w:w="28" w:type="dxa"/>
                        </w:tcMar>
                      </w:tcPr>
                      <w:p w:rsidR="00A67B84" w:rsidRPr="00136E10" w:rsidRDefault="00A67B84" w:rsidP="00136E10">
                        <w:pPr>
                          <w:jc w:val="left"/>
                        </w:pPr>
                        <w:r w:rsidRPr="00136E10">
                          <w:t>Любая отрасль, не относяща</w:t>
                        </w:r>
                        <w:r w:rsidRPr="00136E10">
                          <w:t>я</w:t>
                        </w:r>
                        <w:r w:rsidRPr="00136E10">
                          <w:t>ся в коду 22</w:t>
                        </w:r>
                      </w:p>
                    </w:tc>
                    <w:tc>
                      <w:tcPr>
                        <w:tcW w:w="1521" w:type="pct"/>
                        <w:tcMar>
                          <w:left w:w="28" w:type="dxa"/>
                          <w:right w:w="28" w:type="dxa"/>
                        </w:tcMar>
                      </w:tcPr>
                      <w:p w:rsidR="00A67B84" w:rsidRPr="00136E10" w:rsidRDefault="00A67B84" w:rsidP="00136E10">
                        <w:pPr>
                          <w:jc w:val="left"/>
                        </w:pPr>
                        <w:r w:rsidRPr="00136E10">
                          <w:t>Производство и распределение электроэнергии, газа и воды</w:t>
                        </w:r>
                      </w:p>
                    </w:tc>
                  </w:tr>
                  <w:tr w:rsidR="00A67B84" w:rsidRPr="00136E10" w:rsidTr="00136E10">
                    <w:trPr>
                      <w:jc w:val="center"/>
                    </w:trPr>
                    <w:tc>
                      <w:tcPr>
                        <w:tcW w:w="463" w:type="pct"/>
                        <w:tcMar>
                          <w:left w:w="28" w:type="dxa"/>
                          <w:right w:w="28" w:type="dxa"/>
                        </w:tcMar>
                      </w:tcPr>
                      <w:p w:rsidR="00A67B84" w:rsidRPr="00136E10" w:rsidRDefault="00A67B84" w:rsidP="006C04F7">
                        <w:pPr>
                          <w:jc w:val="center"/>
                        </w:pPr>
                        <w:r w:rsidRPr="00136E10">
                          <w:t>10</w:t>
                        </w:r>
                      </w:p>
                    </w:tc>
                    <w:tc>
                      <w:tcPr>
                        <w:tcW w:w="1494" w:type="pct"/>
                        <w:tcMar>
                          <w:left w:w="28" w:type="dxa"/>
                          <w:right w:w="28" w:type="dxa"/>
                        </w:tcMar>
                      </w:tcPr>
                      <w:p w:rsidR="00A67B84" w:rsidRPr="00136E10" w:rsidRDefault="00A67B84" w:rsidP="00136E10">
                        <w:pPr>
                          <w:jc w:val="left"/>
                        </w:pPr>
                        <w:r w:rsidRPr="00136E10">
                          <w:t>Приобретение финансовых организаций компаниями о</w:t>
                        </w:r>
                        <w:r w:rsidRPr="00136E10">
                          <w:t>т</w:t>
                        </w:r>
                        <w:r w:rsidRPr="00136E10">
                          <w:t xml:space="preserve">расли </w:t>
                        </w:r>
                      </w:p>
                    </w:tc>
                    <w:tc>
                      <w:tcPr>
                        <w:tcW w:w="1521" w:type="pct"/>
                        <w:tcMar>
                          <w:left w:w="28" w:type="dxa"/>
                          <w:right w:w="28" w:type="dxa"/>
                        </w:tcMar>
                      </w:tcPr>
                      <w:p w:rsidR="00A67B84" w:rsidRPr="00136E10" w:rsidRDefault="00A67B84" w:rsidP="00136E10">
                        <w:pPr>
                          <w:jc w:val="left"/>
                          <w:rPr>
                            <w:lang w:val="en-US"/>
                          </w:rPr>
                        </w:pPr>
                        <w:r w:rsidRPr="00136E10">
                          <w:t>Финансы</w:t>
                        </w:r>
                      </w:p>
                    </w:tc>
                    <w:tc>
                      <w:tcPr>
                        <w:tcW w:w="1521" w:type="pct"/>
                        <w:tcMar>
                          <w:left w:w="28" w:type="dxa"/>
                          <w:right w:w="28" w:type="dxa"/>
                        </w:tcMar>
                      </w:tcPr>
                      <w:p w:rsidR="00A67B84" w:rsidRPr="00136E10" w:rsidRDefault="00A67B84" w:rsidP="00136E10">
                        <w:pPr>
                          <w:jc w:val="left"/>
                        </w:pPr>
                        <w:r w:rsidRPr="00136E10">
                          <w:t>Производство и распределение электроэнергии, газа и воды</w:t>
                        </w:r>
                      </w:p>
                    </w:tc>
                  </w:tr>
                  <w:tr w:rsidR="00A67B84" w:rsidRPr="00136E10" w:rsidTr="00136E10">
                    <w:trPr>
                      <w:jc w:val="center"/>
                    </w:trPr>
                    <w:tc>
                      <w:tcPr>
                        <w:tcW w:w="463" w:type="pct"/>
                        <w:tcMar>
                          <w:left w:w="28" w:type="dxa"/>
                          <w:right w:w="28" w:type="dxa"/>
                        </w:tcMar>
                      </w:tcPr>
                      <w:p w:rsidR="00A67B84" w:rsidRPr="00136E10" w:rsidRDefault="00A67B84" w:rsidP="006C04F7">
                        <w:pPr>
                          <w:jc w:val="center"/>
                        </w:pPr>
                        <w:r w:rsidRPr="00136E10">
                          <w:t>11</w:t>
                        </w:r>
                      </w:p>
                    </w:tc>
                    <w:tc>
                      <w:tcPr>
                        <w:tcW w:w="1494" w:type="pct"/>
                        <w:tcMar>
                          <w:left w:w="28" w:type="dxa"/>
                          <w:right w:w="28" w:type="dxa"/>
                        </w:tcMar>
                      </w:tcPr>
                      <w:p w:rsidR="00A67B84" w:rsidRPr="00136E10" w:rsidRDefault="00A67B84" w:rsidP="00136E10">
                        <w:pPr>
                          <w:jc w:val="left"/>
                        </w:pPr>
                        <w:r w:rsidRPr="00136E10">
                          <w:t>Приобретение финансовыми организациями компаний о</w:t>
                        </w:r>
                        <w:r w:rsidRPr="00136E10">
                          <w:t>т</w:t>
                        </w:r>
                        <w:r w:rsidRPr="00136E10">
                          <w:t>расли</w:t>
                        </w:r>
                      </w:p>
                    </w:tc>
                    <w:tc>
                      <w:tcPr>
                        <w:tcW w:w="1521" w:type="pct"/>
                        <w:tcMar>
                          <w:left w:w="28" w:type="dxa"/>
                          <w:right w:w="28" w:type="dxa"/>
                        </w:tcMar>
                      </w:tcPr>
                      <w:p w:rsidR="00A67B84" w:rsidRPr="00136E10" w:rsidRDefault="00A67B84" w:rsidP="00136E10">
                        <w:pPr>
                          <w:jc w:val="left"/>
                        </w:pPr>
                        <w:r w:rsidRPr="00136E10">
                          <w:t>Производство и распределение электроэнергии, газа и воды</w:t>
                        </w:r>
                      </w:p>
                    </w:tc>
                    <w:tc>
                      <w:tcPr>
                        <w:tcW w:w="1521" w:type="pct"/>
                        <w:tcMar>
                          <w:left w:w="28" w:type="dxa"/>
                          <w:right w:w="28" w:type="dxa"/>
                        </w:tcMar>
                      </w:tcPr>
                      <w:p w:rsidR="00A67B84" w:rsidRPr="00136E10" w:rsidRDefault="00A67B84" w:rsidP="00136E10">
                        <w:pPr>
                          <w:jc w:val="left"/>
                          <w:rPr>
                            <w:lang w:val="en-US"/>
                          </w:rPr>
                        </w:pPr>
                        <w:r w:rsidRPr="00136E10">
                          <w:t>Финансы</w:t>
                        </w:r>
                      </w:p>
                    </w:tc>
                  </w:tr>
                  <w:tr w:rsidR="00A67B84" w:rsidRPr="00136E10" w:rsidTr="00136E10">
                    <w:trPr>
                      <w:jc w:val="center"/>
                    </w:trPr>
                    <w:tc>
                      <w:tcPr>
                        <w:tcW w:w="5000" w:type="pct"/>
                        <w:gridSpan w:val="4"/>
                        <w:tcMar>
                          <w:left w:w="28" w:type="dxa"/>
                          <w:right w:w="28" w:type="dxa"/>
                        </w:tcMar>
                      </w:tcPr>
                      <w:p w:rsidR="00A67B84" w:rsidRPr="00136E10" w:rsidRDefault="00A67B84" w:rsidP="006C04F7">
                        <w:r w:rsidRPr="00136E10">
                          <w:t>(*) добыча сырой нефти, добыча природного газа, добыча битуминозного угля и бурого угля, подземная добыча битуминозного угля, добыча антрацита, промышленное строительство, строительство коммерч</w:t>
                        </w:r>
                        <w:r w:rsidRPr="00136E10">
                          <w:t>е</w:t>
                        </w:r>
                        <w:r w:rsidRPr="00136E10">
                          <w:t>ских зданий, строительство водопроводных и канализационных сетей и сопутствующих сооружений, строительство нефтегазопроводов и сопутствующих сооружений, строительство линий электропередачи, связи и сопутствующих сооружений</w:t>
                        </w:r>
                      </w:p>
                    </w:tc>
                  </w:tr>
                </w:tbl>
                <w:p w:rsidR="00A67B84" w:rsidRPr="00BC27B3" w:rsidRDefault="00A67B84" w:rsidP="00A67B84"/>
                <w:p w:rsidR="00A67B84" w:rsidRPr="00BC27B3" w:rsidRDefault="00A67B84" w:rsidP="00A67B84"/>
                <w:p w:rsidR="00A67B84" w:rsidRDefault="00A67B84" w:rsidP="00A67B84"/>
                <w:p w:rsidR="00A67B84" w:rsidRPr="00136E10" w:rsidRDefault="00A67B84" w:rsidP="00A67B84">
                  <w:r w:rsidRPr="00136E10">
                    <w:rPr>
                      <w:noProof/>
                    </w:rPr>
                    <w:drawing>
                      <wp:inline distT="0" distB="0" distL="0" distR="0">
                        <wp:extent cx="5607380" cy="3391786"/>
                        <wp:effectExtent l="19050" t="0" r="0" b="0"/>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4434" cy="3396053"/>
                                </a:xfrm>
                                <a:prstGeom prst="rect">
                                  <a:avLst/>
                                </a:prstGeom>
                              </pic:spPr>
                            </pic:pic>
                          </a:graphicData>
                        </a:graphic>
                      </wp:inline>
                    </w:drawing>
                  </w:r>
                </w:p>
                <w:p w:rsidR="00A67B84" w:rsidRDefault="00A67B84" w:rsidP="00A67B84">
                  <w:pPr>
                    <w:spacing w:after="120"/>
                    <w:jc w:val="center"/>
                    <w:rPr>
                      <w:rFonts w:ascii="Arial" w:hAnsi="Arial" w:cs="Arial"/>
                      <w:b/>
                      <w:bCs/>
                      <w:sz w:val="16"/>
                    </w:rPr>
                  </w:pPr>
                </w:p>
                <w:p w:rsidR="00A67B84" w:rsidRPr="00136E10" w:rsidRDefault="00A67B84" w:rsidP="00A67B84">
                  <w:pPr>
                    <w:spacing w:after="120"/>
                    <w:jc w:val="center"/>
                    <w:rPr>
                      <w:rFonts w:ascii="Arial" w:hAnsi="Arial" w:cs="Arial"/>
                      <w:b/>
                      <w:bCs/>
                      <w:sz w:val="16"/>
                    </w:rPr>
                  </w:pPr>
                  <w:r w:rsidRPr="00136E10">
                    <w:rPr>
                      <w:rFonts w:ascii="Arial" w:hAnsi="Arial" w:cs="Arial"/>
                      <w:b/>
                      <w:bCs/>
                      <w:sz w:val="16"/>
                    </w:rPr>
                    <w:t xml:space="preserve">Рис. 1. Типология стратегий, в которых оба участника сделки относятся к исследуемой отрасли </w:t>
                  </w:r>
                  <w:r>
                    <w:rPr>
                      <w:rFonts w:ascii="Arial" w:hAnsi="Arial" w:cs="Arial"/>
                      <w:b/>
                      <w:bCs/>
                      <w:sz w:val="16"/>
                    </w:rPr>
                    <w:br/>
                  </w:r>
                  <w:r w:rsidRPr="00136E10">
                    <w:rPr>
                      <w:rFonts w:ascii="Arial" w:hAnsi="Arial" w:cs="Arial"/>
                      <w:b/>
                      <w:bCs/>
                      <w:sz w:val="16"/>
                    </w:rPr>
                    <w:t>(в скобках показан номер в авторской типологии стратегий интеграции и диверсификации)</w:t>
                  </w:r>
                </w:p>
                <w:p w:rsidR="00A67B84" w:rsidRDefault="00A67B84" w:rsidP="00A67B84"/>
              </w:txbxContent>
            </v:textbox>
          </v:shape>
        </w:pict>
      </w:r>
    </w:p>
    <w:p w:rsidR="00A67B84" w:rsidRDefault="00A67B84">
      <w:pPr>
        <w:autoSpaceDE/>
        <w:autoSpaceDN/>
        <w:jc w:val="left"/>
      </w:pPr>
      <w:r>
        <w:br w:type="page"/>
      </w:r>
    </w:p>
    <w:p w:rsidR="00A67B84" w:rsidRPr="00136E10" w:rsidRDefault="00F5713B" w:rsidP="00A67B84">
      <w:r>
        <w:rPr>
          <w:noProof/>
        </w:rPr>
        <w:lastRenderedPageBreak/>
        <w:pict>
          <v:shape id="_x0000_s1431" type="#_x0000_t202" style="position:absolute;left:0;text-align:left;margin-left:-5.45pt;margin-top:-.55pt;width:468pt;height:267.1pt;z-index:251665408" stroked="f">
            <v:textbox>
              <w:txbxContent>
                <w:p w:rsidR="00A67B84" w:rsidRPr="00136E10" w:rsidRDefault="00A67B84" w:rsidP="00A67B84">
                  <w:r w:rsidRPr="00136E10">
                    <w:rPr>
                      <w:noProof/>
                    </w:rPr>
                    <w:drawing>
                      <wp:inline distT="0" distB="0" distL="0" distR="0">
                        <wp:extent cx="5759450" cy="2601595"/>
                        <wp:effectExtent l="0" t="0" r="0" b="8255"/>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59450" cy="2601595"/>
                                </a:xfrm>
                                <a:prstGeom prst="rect">
                                  <a:avLst/>
                                </a:prstGeom>
                              </pic:spPr>
                            </pic:pic>
                          </a:graphicData>
                        </a:graphic>
                      </wp:inline>
                    </w:drawing>
                  </w:r>
                </w:p>
                <w:p w:rsidR="00A67B84" w:rsidRDefault="00A67B84" w:rsidP="00A67B84">
                  <w:pPr>
                    <w:ind w:firstLine="397"/>
                  </w:pPr>
                </w:p>
                <w:p w:rsidR="00A67B84" w:rsidRPr="00136E10" w:rsidRDefault="00A67B84" w:rsidP="00A67B84">
                  <w:pPr>
                    <w:spacing w:after="120"/>
                    <w:jc w:val="center"/>
                    <w:rPr>
                      <w:rFonts w:ascii="Arial" w:hAnsi="Arial" w:cs="Arial"/>
                      <w:b/>
                      <w:bCs/>
                      <w:sz w:val="16"/>
                    </w:rPr>
                  </w:pPr>
                  <w:r w:rsidRPr="00136E10">
                    <w:rPr>
                      <w:rFonts w:ascii="Arial" w:hAnsi="Arial" w:cs="Arial"/>
                      <w:b/>
                      <w:bCs/>
                      <w:sz w:val="16"/>
                    </w:rPr>
                    <w:t xml:space="preserve">Рис. 2. Типология стратегий, в которых один из участников относится к исследуемой отрасли </w:t>
                  </w:r>
                  <w:r>
                    <w:rPr>
                      <w:rFonts w:ascii="Arial" w:hAnsi="Arial" w:cs="Arial"/>
                      <w:b/>
                      <w:bCs/>
                      <w:sz w:val="16"/>
                    </w:rPr>
                    <w:br/>
                  </w:r>
                  <w:r w:rsidRPr="00136E10">
                    <w:rPr>
                      <w:rFonts w:ascii="Arial" w:hAnsi="Arial" w:cs="Arial"/>
                      <w:b/>
                      <w:bCs/>
                      <w:sz w:val="16"/>
                    </w:rPr>
                    <w:t>(в скобках показан номер в авторской типологии стратегий интеграции и диверсификации)</w:t>
                  </w:r>
                </w:p>
                <w:p w:rsidR="00A67B84" w:rsidRDefault="00A67B84" w:rsidP="00A67B84"/>
              </w:txbxContent>
            </v:textbox>
            <w10:wrap type="topAndBottom"/>
          </v:shape>
        </w:pict>
      </w:r>
      <w:proofErr w:type="spellStart"/>
      <w:r w:rsidR="00A67B84" w:rsidRPr="00136E10">
        <w:t>гии</w:t>
      </w:r>
      <w:proofErr w:type="spellEnd"/>
      <w:r w:rsidR="00A67B84" w:rsidRPr="00136E10">
        <w:t>. Для принятия индивидуального решения об объекте слияния/поглощения тип стратегии не имеет существенного значения. Однако поста</w:t>
      </w:r>
      <w:r w:rsidR="00A67B84" w:rsidRPr="00136E10">
        <w:t>в</w:t>
      </w:r>
      <w:r w:rsidR="00A67B84" w:rsidRPr="00136E10">
        <w:t>ленная цель научного исследования, а именно: моделирование процесса выбора стратегий и и</w:t>
      </w:r>
      <w:r w:rsidR="00A67B84" w:rsidRPr="00136E10">
        <w:t>с</w:t>
      </w:r>
      <w:r w:rsidR="00A67B84" w:rsidRPr="00136E10">
        <w:t>следование факторов, определяющих выбор стр</w:t>
      </w:r>
      <w:r w:rsidR="00A67B84" w:rsidRPr="00136E10">
        <w:t>а</w:t>
      </w:r>
      <w:r w:rsidR="00A67B84" w:rsidRPr="00136E10">
        <w:t>тегий на статистически значимой выборке, – дел</w:t>
      </w:r>
      <w:r w:rsidR="00A67B84" w:rsidRPr="00136E10">
        <w:t>а</w:t>
      </w:r>
      <w:r w:rsidR="00A67B84" w:rsidRPr="00136E10">
        <w:t xml:space="preserve">ет этот этап необходимым. </w:t>
      </w:r>
    </w:p>
    <w:p w:rsidR="00136E10" w:rsidRPr="00136E10" w:rsidRDefault="00136E10" w:rsidP="00136E10">
      <w:pPr>
        <w:ind w:firstLine="397"/>
      </w:pPr>
      <w:r w:rsidRPr="00136E10">
        <w:t xml:space="preserve">Для проверки разработанной типологии на эмпирических данных из базы данных </w:t>
      </w:r>
      <w:r w:rsidRPr="00136E10">
        <w:rPr>
          <w:lang w:val="en-US"/>
        </w:rPr>
        <w:t>Zephyr</w:t>
      </w:r>
      <w:r w:rsidRPr="00136E10">
        <w:t xml:space="preserve"> от</w:t>
      </w:r>
      <w:r w:rsidRPr="00136E10">
        <w:t>о</w:t>
      </w:r>
      <w:r w:rsidRPr="00136E10">
        <w:t>браны 2904 сделки, в которых приобреталась доля более 25 процентов компании, завершившиеся в период с 1999 по 2019 годы, и в которых хотя бы один из участников относился к обобщенной о</w:t>
      </w:r>
      <w:r w:rsidRPr="00136E10">
        <w:t>т</w:t>
      </w:r>
      <w:r w:rsidRPr="00136E10">
        <w:t>расли «Производство и распределение электр</w:t>
      </w:r>
      <w:r w:rsidRPr="00136E10">
        <w:t>о</w:t>
      </w:r>
      <w:r w:rsidRPr="00136E10">
        <w:t>энергии, газа и воды». Эти сделки распределены по 11-ти типам стратегий, по каждой стратегии определено количество сделок. В табл. 4 предста</w:t>
      </w:r>
      <w:r w:rsidRPr="00136E10">
        <w:t>в</w:t>
      </w:r>
      <w:r w:rsidRPr="00136E10">
        <w:t>лено распределение сделок слияний и поглощений по годам в разрезе выделенных стратегий, а также доля каждой стратегии в общем количестве сд</w:t>
      </w:r>
      <w:r w:rsidRPr="00136E10">
        <w:t>е</w:t>
      </w:r>
      <w:r w:rsidRPr="00136E10">
        <w:t>лок. Незначительное количество число сделок в 2019 году объясняется спецификой сделок сли</w:t>
      </w:r>
      <w:r w:rsidRPr="00136E10">
        <w:t>я</w:t>
      </w:r>
      <w:r w:rsidRPr="00136E10">
        <w:t>ний и поглощений, часто длящихся в течение о</w:t>
      </w:r>
      <w:r w:rsidRPr="00136E10">
        <w:t>д</w:t>
      </w:r>
      <w:r w:rsidRPr="00136E10">
        <w:t>ного-трех лет, поэтому данные в этих случаях п</w:t>
      </w:r>
      <w:r w:rsidRPr="00136E10">
        <w:t>о</w:t>
      </w:r>
      <w:r w:rsidRPr="00136E10">
        <w:t>падают в итоговую базу с большим временным лагом. Кризисные явления в экономике, связанные с пандемией коронавируса в 2020–21 гг., привели к отмене или откладыванию завершения многих сделок, которые были начаты в 2019 году, поэтому не попали в базу или попадут в базу данных поз</w:t>
      </w:r>
      <w:r w:rsidRPr="00136E10">
        <w:t>д</w:t>
      </w:r>
      <w:r w:rsidRPr="00136E10">
        <w:t>нее. Однако данное обстоятельство не оказывает влияния на результаты исследования в связи со значительным количеством проанализированных сделок в предыдущие годы.</w:t>
      </w:r>
    </w:p>
    <w:p w:rsidR="00136E10" w:rsidRPr="00136E10" w:rsidRDefault="00136E10" w:rsidP="00136E10">
      <w:pPr>
        <w:ind w:firstLine="397"/>
      </w:pPr>
      <w:r w:rsidRPr="00136E10">
        <w:t>Основной вывод из полученного распредел</w:t>
      </w:r>
      <w:r w:rsidRPr="00136E10">
        <w:t>е</w:t>
      </w:r>
      <w:r w:rsidRPr="00136E10">
        <w:t>ния количества сделок по разработанным автор</w:t>
      </w:r>
      <w:r w:rsidRPr="00136E10">
        <w:t>а</w:t>
      </w:r>
      <w:r w:rsidRPr="00136E10">
        <w:t>ми типам стратегий в том, что предложенные н</w:t>
      </w:r>
      <w:r w:rsidRPr="00136E10">
        <w:t>о</w:t>
      </w:r>
      <w:r w:rsidRPr="00136E10">
        <w:t>вые типы стратегий корпоративного развития х</w:t>
      </w:r>
      <w:r w:rsidRPr="00136E10">
        <w:t>а</w:t>
      </w:r>
      <w:r w:rsidRPr="00136E10">
        <w:t>рактеризуются значительным количеством сделок. Так, количество сделок по стратегии горизонтал</w:t>
      </w:r>
      <w:r w:rsidRPr="00136E10">
        <w:t>ь</w:t>
      </w:r>
      <w:r w:rsidRPr="00136E10">
        <w:t>ной интеграции внутри отрасли (генерация) с</w:t>
      </w:r>
      <w:r w:rsidRPr="00136E10">
        <w:t>о</w:t>
      </w:r>
      <w:r w:rsidRPr="00136E10">
        <w:t>ставляет 11,5 % от общего числа сделок за иссл</w:t>
      </w:r>
      <w:r w:rsidRPr="00136E10">
        <w:t>е</w:t>
      </w:r>
      <w:r w:rsidRPr="00136E10">
        <w:t>дованный период, по стратегии горизонтальной интеграции внутри отрасли (кроме генерации) – 10,2 %, по стратегии несвязанной диверсификации вне отрасли составляет 25,6 %, по стратегии пр</w:t>
      </w:r>
      <w:r w:rsidRPr="00136E10">
        <w:t>и</w:t>
      </w:r>
      <w:r w:rsidRPr="00136E10">
        <w:t xml:space="preserve">обретения финансовыми организации компаний данной отрасли – 26 %. При этом новые стратегии наблюдаются практически в каждом году внутри исследованного периода. </w:t>
      </w:r>
    </w:p>
    <w:p w:rsidR="00136E10" w:rsidRPr="00136E10" w:rsidRDefault="00136E10" w:rsidP="00136E10">
      <w:pPr>
        <w:ind w:firstLine="397"/>
      </w:pPr>
      <w:r w:rsidRPr="00136E10">
        <w:t>Таким образом, предложенные типы страт</w:t>
      </w:r>
      <w:r w:rsidRPr="00136E10">
        <w:t>е</w:t>
      </w:r>
      <w:r w:rsidRPr="00136E10">
        <w:t xml:space="preserve">гий при анализе большого (сплошного) массива информации </w:t>
      </w:r>
      <w:r w:rsidRPr="00A67B84">
        <w:t>представле</w:t>
      </w:r>
      <w:r w:rsidR="00DE62AF" w:rsidRPr="00A67B84">
        <w:t>н</w:t>
      </w:r>
      <w:r w:rsidRPr="00A67B84">
        <w:t>ы</w:t>
      </w:r>
      <w:r w:rsidRPr="00136E10">
        <w:t xml:space="preserve"> большим количеством соответствующих сделок. Подобное распредел</w:t>
      </w:r>
      <w:r w:rsidRPr="00136E10">
        <w:t>е</w:t>
      </w:r>
      <w:r w:rsidRPr="00136E10">
        <w:t>ние является объективным подтверждением цел</w:t>
      </w:r>
      <w:r w:rsidRPr="00136E10">
        <w:t>е</w:t>
      </w:r>
      <w:r w:rsidRPr="00136E10">
        <w:t>сообразности выделения данных массивов сделок в самостоятельные виды стратегий и их дальне</w:t>
      </w:r>
      <w:r w:rsidRPr="00136E10">
        <w:t>й</w:t>
      </w:r>
      <w:r w:rsidRPr="00136E10">
        <w:t>шего исследования при принятии решений о н</w:t>
      </w:r>
      <w:r w:rsidRPr="00136E10">
        <w:t>а</w:t>
      </w:r>
      <w:r w:rsidRPr="00136E10">
        <w:t>правлениях корпоративного развития. В частн</w:t>
      </w:r>
      <w:r w:rsidRPr="00136E10">
        <w:t>о</w:t>
      </w:r>
      <w:r w:rsidRPr="00136E10">
        <w:t>сти, перспективной с точки зрения получения н</w:t>
      </w:r>
      <w:r w:rsidRPr="00136E10">
        <w:t>о</w:t>
      </w:r>
      <w:r w:rsidRPr="00136E10">
        <w:t>вого научного результата становится моделиров</w:t>
      </w:r>
      <w:r w:rsidRPr="00136E10">
        <w:t>а</w:t>
      </w:r>
      <w:r w:rsidRPr="00136E10">
        <w:t>ние факторов, влияющих на выбор стратегий, с целью прогнозирования параметров сделок для компаний-участников. При выделении стратегий в классическом подходе эта задача является нев</w:t>
      </w:r>
      <w:r w:rsidRPr="00136E10">
        <w:t>ы</w:t>
      </w:r>
      <w:r w:rsidRPr="00136E10">
        <w:t>полнимой в силу большого разнообразия страт</w:t>
      </w:r>
      <w:r w:rsidRPr="00136E10">
        <w:t>е</w:t>
      </w:r>
      <w:r w:rsidRPr="00136E10">
        <w:t xml:space="preserve">гических решений, используемых внутри каждого типа стратегии. </w:t>
      </w:r>
    </w:p>
    <w:p w:rsidR="00136E10" w:rsidRPr="00136E10" w:rsidRDefault="00F5713B" w:rsidP="00136E10">
      <w:pPr>
        <w:ind w:firstLine="397"/>
        <w:rPr>
          <w:b/>
          <w:bCs/>
        </w:rPr>
      </w:pPr>
      <w:r>
        <w:rPr>
          <w:b/>
          <w:bCs/>
          <w:noProof/>
        </w:rPr>
        <w:lastRenderedPageBreak/>
        <w:pict>
          <v:shape id="_x0000_s1417" type="#_x0000_t202" style="position:absolute;left:0;text-align:left;margin-left:-1.4pt;margin-top:-1.7pt;width:468pt;height:411.5pt;z-index:251661312" stroked="f">
            <v:textbox>
              <w:txbxContent>
                <w:p w:rsidR="00901C15" w:rsidRPr="00901C15" w:rsidRDefault="00901C15" w:rsidP="00901C15">
                  <w:pPr>
                    <w:jc w:val="right"/>
                    <w:rPr>
                      <w:rFonts w:ascii="Arial" w:hAnsi="Arial" w:cs="Arial"/>
                      <w:b/>
                      <w:bCs/>
                      <w:sz w:val="16"/>
                    </w:rPr>
                  </w:pPr>
                  <w:r w:rsidRPr="00901C15">
                    <w:rPr>
                      <w:rFonts w:ascii="Arial" w:hAnsi="Arial" w:cs="Arial"/>
                      <w:b/>
                      <w:bCs/>
                      <w:sz w:val="16"/>
                    </w:rPr>
                    <w:t>Таблица 4</w:t>
                  </w:r>
                </w:p>
                <w:p w:rsidR="00901C15" w:rsidRPr="00901C15" w:rsidRDefault="00901C15" w:rsidP="00901C15">
                  <w:pPr>
                    <w:spacing w:after="120"/>
                    <w:jc w:val="center"/>
                    <w:rPr>
                      <w:rFonts w:ascii="Arial" w:hAnsi="Arial" w:cs="Arial"/>
                      <w:b/>
                      <w:bCs/>
                      <w:sz w:val="16"/>
                    </w:rPr>
                  </w:pPr>
                  <w:r w:rsidRPr="00901C15">
                    <w:rPr>
                      <w:rFonts w:ascii="Arial" w:hAnsi="Arial" w:cs="Arial"/>
                      <w:b/>
                      <w:bCs/>
                      <w:sz w:val="16"/>
                    </w:rPr>
                    <w:t xml:space="preserve">Распределение количества сделок слияний и поглощений </w:t>
                  </w:r>
                  <w:r w:rsidRPr="00901C15">
                    <w:rPr>
                      <w:rFonts w:ascii="Arial" w:hAnsi="Arial" w:cs="Arial"/>
                      <w:b/>
                      <w:bCs/>
                      <w:sz w:val="16"/>
                    </w:rPr>
                    <w:br/>
                    <w:t>в мире по типам стратегий (в авторской типологии), по годам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4"/>
                    <w:gridCol w:w="340"/>
                    <w:gridCol w:w="340"/>
                    <w:gridCol w:w="340"/>
                    <w:gridCol w:w="339"/>
                    <w:gridCol w:w="339"/>
                    <w:gridCol w:w="339"/>
                    <w:gridCol w:w="339"/>
                    <w:gridCol w:w="339"/>
                    <w:gridCol w:w="339"/>
                    <w:gridCol w:w="339"/>
                    <w:gridCol w:w="339"/>
                    <w:gridCol w:w="339"/>
                    <w:gridCol w:w="339"/>
                    <w:gridCol w:w="339"/>
                    <w:gridCol w:w="339"/>
                    <w:gridCol w:w="339"/>
                    <w:gridCol w:w="243"/>
                    <w:gridCol w:w="436"/>
                    <w:gridCol w:w="560"/>
                  </w:tblGrid>
                  <w:tr w:rsidR="00901C15" w:rsidRPr="00136E10" w:rsidTr="006C04F7">
                    <w:trPr>
                      <w:cantSplit/>
                      <w:trHeight w:val="837"/>
                    </w:trPr>
                    <w:tc>
                      <w:tcPr>
                        <w:tcW w:w="1345"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Виды стратегий</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2003</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2004</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2005</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2006</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2007</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2008</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2009</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2010</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2011</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2012</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2013</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2014</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2015</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2016</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2017</w:t>
                        </w:r>
                      </w:p>
                    </w:tc>
                    <w:tc>
                      <w:tcPr>
                        <w:tcW w:w="186"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2018</w:t>
                        </w:r>
                      </w:p>
                    </w:tc>
                    <w:tc>
                      <w:tcPr>
                        <w:tcW w:w="133" w:type="pct"/>
                        <w:shd w:val="clear" w:color="auto" w:fill="auto"/>
                        <w:noWrap/>
                        <w:tcMar>
                          <w:left w:w="28" w:type="dxa"/>
                          <w:right w:w="28"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2019</w:t>
                        </w:r>
                      </w:p>
                    </w:tc>
                    <w:tc>
                      <w:tcPr>
                        <w:tcW w:w="239" w:type="pct"/>
                        <w:shd w:val="clear" w:color="auto" w:fill="auto"/>
                        <w:noWrap/>
                        <w:tcMar>
                          <w:left w:w="0" w:type="dxa"/>
                          <w:right w:w="0" w:type="dxa"/>
                        </w:tcMar>
                        <w:textDirection w:val="btLr"/>
                        <w:vAlign w:val="center"/>
                        <w:hideMark/>
                      </w:tcPr>
                      <w:p w:rsidR="00901C15" w:rsidRPr="00136E10" w:rsidRDefault="00901C15" w:rsidP="006C04F7">
                        <w:pPr>
                          <w:ind w:left="113" w:right="113"/>
                          <w:jc w:val="center"/>
                          <w:rPr>
                            <w:bCs/>
                            <w:sz w:val="18"/>
                            <w:szCs w:val="18"/>
                          </w:rPr>
                        </w:pPr>
                        <w:r w:rsidRPr="00136E10">
                          <w:rPr>
                            <w:bCs/>
                            <w:sz w:val="18"/>
                            <w:szCs w:val="18"/>
                          </w:rPr>
                          <w:t>Итого</w:t>
                        </w:r>
                      </w:p>
                    </w:tc>
                    <w:tc>
                      <w:tcPr>
                        <w:tcW w:w="307" w:type="pct"/>
                        <w:tcMar>
                          <w:left w:w="0" w:type="dxa"/>
                          <w:right w:w="0" w:type="dxa"/>
                        </w:tcMar>
                        <w:textDirection w:val="btLr"/>
                        <w:vAlign w:val="center"/>
                      </w:tcPr>
                      <w:p w:rsidR="00901C15" w:rsidRPr="00136E10" w:rsidRDefault="00901C15" w:rsidP="00901C15">
                        <w:pPr>
                          <w:jc w:val="center"/>
                          <w:rPr>
                            <w:bCs/>
                            <w:sz w:val="18"/>
                            <w:szCs w:val="18"/>
                          </w:rPr>
                        </w:pPr>
                        <w:r w:rsidRPr="00136E10">
                          <w:rPr>
                            <w:bCs/>
                            <w:sz w:val="18"/>
                            <w:szCs w:val="18"/>
                          </w:rPr>
                          <w:t>Доля, %</w:t>
                        </w:r>
                      </w:p>
                    </w:tc>
                  </w:tr>
                  <w:tr w:rsidR="00901C15" w:rsidRPr="00136E10" w:rsidTr="006C04F7">
                    <w:trPr>
                      <w:trHeight w:val="300"/>
                    </w:trPr>
                    <w:tc>
                      <w:tcPr>
                        <w:tcW w:w="1345" w:type="pct"/>
                        <w:shd w:val="clear" w:color="auto" w:fill="auto"/>
                        <w:noWrap/>
                        <w:tcMar>
                          <w:left w:w="28" w:type="dxa"/>
                          <w:right w:w="28" w:type="dxa"/>
                        </w:tcMar>
                        <w:hideMark/>
                      </w:tcPr>
                      <w:p w:rsidR="00901C15" w:rsidRPr="00136E10" w:rsidRDefault="00901C15" w:rsidP="00901C15">
                        <w:pPr>
                          <w:jc w:val="left"/>
                          <w:rPr>
                            <w:sz w:val="18"/>
                            <w:szCs w:val="18"/>
                          </w:rPr>
                        </w:pPr>
                        <w:r w:rsidRPr="00136E10">
                          <w:rPr>
                            <w:sz w:val="18"/>
                            <w:szCs w:val="18"/>
                          </w:rPr>
                          <w:t>1. Горизонтальная интеграция внутри отрасли (генерация)</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19</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48</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8</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19</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11</w:t>
                        </w:r>
                      </w:p>
                    </w:tc>
                    <w:tc>
                      <w:tcPr>
                        <w:tcW w:w="133"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0</w:t>
                        </w:r>
                      </w:p>
                    </w:tc>
                    <w:tc>
                      <w:tcPr>
                        <w:tcW w:w="239" w:type="pct"/>
                        <w:shd w:val="clear" w:color="auto" w:fill="auto"/>
                        <w:noWrap/>
                        <w:tcMar>
                          <w:left w:w="0" w:type="dxa"/>
                          <w:right w:w="0" w:type="dxa"/>
                        </w:tcMar>
                        <w:vAlign w:val="center"/>
                        <w:hideMark/>
                      </w:tcPr>
                      <w:p w:rsidR="00901C15" w:rsidRPr="00136E10" w:rsidRDefault="00901C15" w:rsidP="006C04F7">
                        <w:pPr>
                          <w:jc w:val="center"/>
                          <w:rPr>
                            <w:sz w:val="18"/>
                            <w:szCs w:val="18"/>
                          </w:rPr>
                        </w:pPr>
                        <w:r w:rsidRPr="00136E10">
                          <w:rPr>
                            <w:sz w:val="18"/>
                            <w:szCs w:val="18"/>
                          </w:rPr>
                          <w:t>335</w:t>
                        </w:r>
                      </w:p>
                    </w:tc>
                    <w:tc>
                      <w:tcPr>
                        <w:tcW w:w="307" w:type="pct"/>
                        <w:vAlign w:val="center"/>
                      </w:tcPr>
                      <w:p w:rsidR="00901C15" w:rsidRPr="00136E10" w:rsidRDefault="00901C15" w:rsidP="006C04F7">
                        <w:pPr>
                          <w:jc w:val="center"/>
                          <w:rPr>
                            <w:sz w:val="18"/>
                            <w:szCs w:val="18"/>
                          </w:rPr>
                        </w:pPr>
                        <w:r w:rsidRPr="00136E10">
                          <w:rPr>
                            <w:sz w:val="18"/>
                            <w:szCs w:val="18"/>
                          </w:rPr>
                          <w:t>11,5</w:t>
                        </w:r>
                      </w:p>
                    </w:tc>
                  </w:tr>
                  <w:tr w:rsidR="00901C15" w:rsidRPr="00136E10" w:rsidTr="006C04F7">
                    <w:trPr>
                      <w:trHeight w:val="300"/>
                    </w:trPr>
                    <w:tc>
                      <w:tcPr>
                        <w:tcW w:w="1345" w:type="pct"/>
                        <w:shd w:val="clear" w:color="auto" w:fill="auto"/>
                        <w:noWrap/>
                        <w:tcMar>
                          <w:left w:w="28" w:type="dxa"/>
                          <w:right w:w="28" w:type="dxa"/>
                        </w:tcMar>
                        <w:hideMark/>
                      </w:tcPr>
                      <w:p w:rsidR="00901C15" w:rsidRPr="00136E10" w:rsidRDefault="00901C15" w:rsidP="00901C15">
                        <w:pPr>
                          <w:jc w:val="left"/>
                          <w:rPr>
                            <w:sz w:val="18"/>
                            <w:szCs w:val="18"/>
                          </w:rPr>
                        </w:pPr>
                        <w:r w:rsidRPr="00136E10">
                          <w:rPr>
                            <w:sz w:val="18"/>
                            <w:szCs w:val="18"/>
                          </w:rPr>
                          <w:t>2. Горизонтальная интеграция внутри отрасли (кроме генер</w:t>
                        </w:r>
                        <w:r w:rsidRPr="00136E10">
                          <w:rPr>
                            <w:sz w:val="18"/>
                            <w:szCs w:val="18"/>
                          </w:rPr>
                          <w:t>а</w:t>
                        </w:r>
                        <w:r w:rsidRPr="00136E10">
                          <w:rPr>
                            <w:sz w:val="18"/>
                            <w:szCs w:val="18"/>
                          </w:rPr>
                          <w:t>ции)</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18</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59</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9</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19</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17</w:t>
                        </w:r>
                      </w:p>
                    </w:tc>
                    <w:tc>
                      <w:tcPr>
                        <w:tcW w:w="133"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0</w:t>
                        </w:r>
                      </w:p>
                    </w:tc>
                    <w:tc>
                      <w:tcPr>
                        <w:tcW w:w="239" w:type="pct"/>
                        <w:shd w:val="clear" w:color="auto" w:fill="auto"/>
                        <w:noWrap/>
                        <w:tcMar>
                          <w:left w:w="0" w:type="dxa"/>
                          <w:right w:w="0" w:type="dxa"/>
                        </w:tcMar>
                        <w:vAlign w:val="center"/>
                        <w:hideMark/>
                      </w:tcPr>
                      <w:p w:rsidR="00901C15" w:rsidRPr="00136E10" w:rsidRDefault="00901C15" w:rsidP="006C04F7">
                        <w:pPr>
                          <w:jc w:val="center"/>
                          <w:rPr>
                            <w:sz w:val="18"/>
                            <w:szCs w:val="18"/>
                          </w:rPr>
                        </w:pPr>
                        <w:r w:rsidRPr="00136E10">
                          <w:rPr>
                            <w:sz w:val="18"/>
                            <w:szCs w:val="18"/>
                          </w:rPr>
                          <w:t>297</w:t>
                        </w:r>
                      </w:p>
                    </w:tc>
                    <w:tc>
                      <w:tcPr>
                        <w:tcW w:w="307" w:type="pct"/>
                        <w:vAlign w:val="center"/>
                      </w:tcPr>
                      <w:p w:rsidR="00901C15" w:rsidRPr="00136E10" w:rsidRDefault="00901C15" w:rsidP="006C04F7">
                        <w:pPr>
                          <w:jc w:val="center"/>
                          <w:rPr>
                            <w:sz w:val="18"/>
                            <w:szCs w:val="18"/>
                          </w:rPr>
                        </w:pPr>
                        <w:r w:rsidRPr="00136E10">
                          <w:rPr>
                            <w:sz w:val="18"/>
                            <w:szCs w:val="18"/>
                          </w:rPr>
                          <w:t>10,2</w:t>
                        </w:r>
                      </w:p>
                    </w:tc>
                  </w:tr>
                  <w:tr w:rsidR="00901C15" w:rsidRPr="00136E10" w:rsidTr="006C04F7">
                    <w:trPr>
                      <w:trHeight w:val="300"/>
                    </w:trPr>
                    <w:tc>
                      <w:tcPr>
                        <w:tcW w:w="1345" w:type="pct"/>
                        <w:shd w:val="clear" w:color="auto" w:fill="auto"/>
                        <w:noWrap/>
                        <w:tcMar>
                          <w:left w:w="28" w:type="dxa"/>
                          <w:right w:w="28" w:type="dxa"/>
                        </w:tcMar>
                        <w:hideMark/>
                      </w:tcPr>
                      <w:p w:rsidR="00901C15" w:rsidRPr="00136E10" w:rsidRDefault="00901C15" w:rsidP="00901C15">
                        <w:pPr>
                          <w:jc w:val="left"/>
                          <w:rPr>
                            <w:sz w:val="18"/>
                            <w:szCs w:val="18"/>
                          </w:rPr>
                        </w:pPr>
                        <w:r w:rsidRPr="00136E10">
                          <w:rPr>
                            <w:sz w:val="18"/>
                            <w:szCs w:val="18"/>
                          </w:rPr>
                          <w:t>3. Горизонтальная диверсиф</w:t>
                        </w:r>
                        <w:r w:rsidRPr="00136E10">
                          <w:rPr>
                            <w:sz w:val="18"/>
                            <w:szCs w:val="18"/>
                          </w:rPr>
                          <w:t>и</w:t>
                        </w:r>
                        <w:r w:rsidRPr="00136E10">
                          <w:rPr>
                            <w:sz w:val="18"/>
                            <w:szCs w:val="18"/>
                          </w:rPr>
                          <w:t>кация внутри генерации</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9</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5</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22</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15</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22</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11</w:t>
                        </w:r>
                      </w:p>
                    </w:tc>
                    <w:tc>
                      <w:tcPr>
                        <w:tcW w:w="133"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0</w:t>
                        </w:r>
                      </w:p>
                    </w:tc>
                    <w:tc>
                      <w:tcPr>
                        <w:tcW w:w="239" w:type="pct"/>
                        <w:shd w:val="clear" w:color="auto" w:fill="auto"/>
                        <w:noWrap/>
                        <w:tcMar>
                          <w:left w:w="0" w:type="dxa"/>
                          <w:right w:w="0" w:type="dxa"/>
                        </w:tcMar>
                        <w:vAlign w:val="center"/>
                        <w:hideMark/>
                      </w:tcPr>
                      <w:p w:rsidR="00901C15" w:rsidRPr="00136E10" w:rsidRDefault="00901C15" w:rsidP="006C04F7">
                        <w:pPr>
                          <w:jc w:val="center"/>
                          <w:rPr>
                            <w:sz w:val="18"/>
                            <w:szCs w:val="18"/>
                          </w:rPr>
                        </w:pPr>
                        <w:r w:rsidRPr="00136E10">
                          <w:rPr>
                            <w:sz w:val="18"/>
                            <w:szCs w:val="18"/>
                          </w:rPr>
                          <w:t>210</w:t>
                        </w:r>
                      </w:p>
                    </w:tc>
                    <w:tc>
                      <w:tcPr>
                        <w:tcW w:w="307" w:type="pct"/>
                        <w:vAlign w:val="center"/>
                      </w:tcPr>
                      <w:p w:rsidR="00901C15" w:rsidRPr="00136E10" w:rsidRDefault="00901C15" w:rsidP="006C04F7">
                        <w:pPr>
                          <w:jc w:val="center"/>
                          <w:rPr>
                            <w:sz w:val="18"/>
                            <w:szCs w:val="18"/>
                          </w:rPr>
                        </w:pPr>
                        <w:r w:rsidRPr="00136E10">
                          <w:rPr>
                            <w:sz w:val="18"/>
                            <w:szCs w:val="18"/>
                          </w:rPr>
                          <w:t>7,2</w:t>
                        </w:r>
                      </w:p>
                    </w:tc>
                  </w:tr>
                  <w:tr w:rsidR="00901C15" w:rsidRPr="00136E10" w:rsidTr="006C04F7">
                    <w:trPr>
                      <w:trHeight w:val="300"/>
                    </w:trPr>
                    <w:tc>
                      <w:tcPr>
                        <w:tcW w:w="1345" w:type="pct"/>
                        <w:shd w:val="clear" w:color="auto" w:fill="auto"/>
                        <w:noWrap/>
                        <w:tcMar>
                          <w:left w:w="28" w:type="dxa"/>
                          <w:right w:w="28" w:type="dxa"/>
                        </w:tcMar>
                        <w:hideMark/>
                      </w:tcPr>
                      <w:p w:rsidR="00901C15" w:rsidRPr="00136E10" w:rsidRDefault="00901C15" w:rsidP="00901C15">
                        <w:pPr>
                          <w:jc w:val="left"/>
                          <w:rPr>
                            <w:sz w:val="18"/>
                            <w:szCs w:val="18"/>
                          </w:rPr>
                        </w:pPr>
                        <w:r w:rsidRPr="00136E10">
                          <w:rPr>
                            <w:sz w:val="18"/>
                            <w:szCs w:val="18"/>
                          </w:rPr>
                          <w:t>4. Вертикальная интеграция «назад» внутри отрасли</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5</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5</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8</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5</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w:t>
                        </w:r>
                      </w:p>
                    </w:tc>
                    <w:tc>
                      <w:tcPr>
                        <w:tcW w:w="133"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239" w:type="pct"/>
                        <w:shd w:val="clear" w:color="auto" w:fill="auto"/>
                        <w:noWrap/>
                        <w:tcMar>
                          <w:left w:w="0" w:type="dxa"/>
                          <w:right w:w="0" w:type="dxa"/>
                        </w:tcMar>
                        <w:vAlign w:val="center"/>
                        <w:hideMark/>
                      </w:tcPr>
                      <w:p w:rsidR="00901C15" w:rsidRPr="00136E10" w:rsidRDefault="00901C15" w:rsidP="006C04F7">
                        <w:pPr>
                          <w:jc w:val="center"/>
                          <w:rPr>
                            <w:sz w:val="18"/>
                            <w:szCs w:val="18"/>
                          </w:rPr>
                        </w:pPr>
                        <w:r w:rsidRPr="00136E10">
                          <w:rPr>
                            <w:sz w:val="18"/>
                            <w:szCs w:val="18"/>
                          </w:rPr>
                          <w:t>86</w:t>
                        </w:r>
                      </w:p>
                    </w:tc>
                    <w:tc>
                      <w:tcPr>
                        <w:tcW w:w="307" w:type="pct"/>
                        <w:vAlign w:val="center"/>
                      </w:tcPr>
                      <w:p w:rsidR="00901C15" w:rsidRPr="00136E10" w:rsidRDefault="00901C15" w:rsidP="006C04F7">
                        <w:pPr>
                          <w:jc w:val="center"/>
                          <w:rPr>
                            <w:sz w:val="18"/>
                            <w:szCs w:val="18"/>
                          </w:rPr>
                        </w:pPr>
                        <w:r w:rsidRPr="00136E10">
                          <w:rPr>
                            <w:sz w:val="18"/>
                            <w:szCs w:val="18"/>
                          </w:rPr>
                          <w:t>3,0</w:t>
                        </w:r>
                      </w:p>
                    </w:tc>
                  </w:tr>
                  <w:tr w:rsidR="00901C15" w:rsidRPr="00136E10" w:rsidTr="006C04F7">
                    <w:trPr>
                      <w:trHeight w:val="300"/>
                    </w:trPr>
                    <w:tc>
                      <w:tcPr>
                        <w:tcW w:w="1345" w:type="pct"/>
                        <w:shd w:val="clear" w:color="auto" w:fill="auto"/>
                        <w:noWrap/>
                        <w:tcMar>
                          <w:left w:w="28" w:type="dxa"/>
                          <w:right w:w="28" w:type="dxa"/>
                        </w:tcMar>
                        <w:hideMark/>
                      </w:tcPr>
                      <w:p w:rsidR="00901C15" w:rsidRPr="00136E10" w:rsidRDefault="00901C15" w:rsidP="00901C15">
                        <w:pPr>
                          <w:jc w:val="left"/>
                          <w:rPr>
                            <w:sz w:val="18"/>
                            <w:szCs w:val="18"/>
                          </w:rPr>
                        </w:pPr>
                        <w:r w:rsidRPr="00136E10">
                          <w:rPr>
                            <w:sz w:val="18"/>
                            <w:szCs w:val="18"/>
                          </w:rPr>
                          <w:t>5. Вертикальная интеграция «вперед» внутри отрасли</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5</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5</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w:t>
                        </w:r>
                      </w:p>
                    </w:tc>
                    <w:tc>
                      <w:tcPr>
                        <w:tcW w:w="133"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0</w:t>
                        </w:r>
                      </w:p>
                    </w:tc>
                    <w:tc>
                      <w:tcPr>
                        <w:tcW w:w="239" w:type="pct"/>
                        <w:shd w:val="clear" w:color="auto" w:fill="auto"/>
                        <w:noWrap/>
                        <w:tcMar>
                          <w:left w:w="0" w:type="dxa"/>
                          <w:right w:w="0" w:type="dxa"/>
                        </w:tcMar>
                        <w:vAlign w:val="center"/>
                        <w:hideMark/>
                      </w:tcPr>
                      <w:p w:rsidR="00901C15" w:rsidRPr="00136E10" w:rsidRDefault="00901C15" w:rsidP="006C04F7">
                        <w:pPr>
                          <w:jc w:val="center"/>
                          <w:rPr>
                            <w:sz w:val="18"/>
                            <w:szCs w:val="18"/>
                          </w:rPr>
                        </w:pPr>
                        <w:r w:rsidRPr="00136E10">
                          <w:rPr>
                            <w:sz w:val="18"/>
                            <w:szCs w:val="18"/>
                          </w:rPr>
                          <w:t>75</w:t>
                        </w:r>
                      </w:p>
                    </w:tc>
                    <w:tc>
                      <w:tcPr>
                        <w:tcW w:w="307" w:type="pct"/>
                        <w:vAlign w:val="center"/>
                      </w:tcPr>
                      <w:p w:rsidR="00901C15" w:rsidRPr="00136E10" w:rsidRDefault="00901C15" w:rsidP="006C04F7">
                        <w:pPr>
                          <w:jc w:val="center"/>
                          <w:rPr>
                            <w:sz w:val="18"/>
                            <w:szCs w:val="18"/>
                          </w:rPr>
                        </w:pPr>
                        <w:r w:rsidRPr="00136E10">
                          <w:rPr>
                            <w:sz w:val="18"/>
                            <w:szCs w:val="18"/>
                          </w:rPr>
                          <w:t>2,6</w:t>
                        </w:r>
                      </w:p>
                    </w:tc>
                  </w:tr>
                  <w:tr w:rsidR="00901C15" w:rsidRPr="00136E10" w:rsidTr="006C04F7">
                    <w:trPr>
                      <w:trHeight w:val="300"/>
                    </w:trPr>
                    <w:tc>
                      <w:tcPr>
                        <w:tcW w:w="1345" w:type="pct"/>
                        <w:shd w:val="clear" w:color="auto" w:fill="auto"/>
                        <w:noWrap/>
                        <w:tcMar>
                          <w:left w:w="28" w:type="dxa"/>
                          <w:right w:w="28" w:type="dxa"/>
                        </w:tcMar>
                        <w:hideMark/>
                      </w:tcPr>
                      <w:p w:rsidR="00901C15" w:rsidRPr="00136E10" w:rsidRDefault="00901C15" w:rsidP="00901C15">
                        <w:pPr>
                          <w:jc w:val="left"/>
                          <w:rPr>
                            <w:sz w:val="18"/>
                            <w:szCs w:val="18"/>
                          </w:rPr>
                        </w:pPr>
                        <w:r w:rsidRPr="00136E10">
                          <w:rPr>
                            <w:sz w:val="18"/>
                            <w:szCs w:val="18"/>
                          </w:rPr>
                          <w:t>6. Несвязанная диверсифик</w:t>
                        </w:r>
                        <w:r w:rsidRPr="00136E10">
                          <w:rPr>
                            <w:sz w:val="18"/>
                            <w:szCs w:val="18"/>
                          </w:rPr>
                          <w:t>а</w:t>
                        </w:r>
                        <w:r w:rsidRPr="00136E10">
                          <w:rPr>
                            <w:sz w:val="18"/>
                            <w:szCs w:val="18"/>
                          </w:rPr>
                          <w:t>ция внутри отрасли</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18</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9</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12</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w:t>
                        </w:r>
                      </w:p>
                    </w:tc>
                    <w:tc>
                      <w:tcPr>
                        <w:tcW w:w="133"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239" w:type="pct"/>
                        <w:shd w:val="clear" w:color="auto" w:fill="auto"/>
                        <w:noWrap/>
                        <w:tcMar>
                          <w:left w:w="0" w:type="dxa"/>
                          <w:right w:w="0" w:type="dxa"/>
                        </w:tcMar>
                        <w:vAlign w:val="center"/>
                        <w:hideMark/>
                      </w:tcPr>
                      <w:p w:rsidR="00901C15" w:rsidRPr="00136E10" w:rsidRDefault="00901C15" w:rsidP="006C04F7">
                        <w:pPr>
                          <w:jc w:val="center"/>
                          <w:rPr>
                            <w:sz w:val="18"/>
                            <w:szCs w:val="18"/>
                          </w:rPr>
                        </w:pPr>
                        <w:r w:rsidRPr="00136E10">
                          <w:rPr>
                            <w:sz w:val="18"/>
                            <w:szCs w:val="18"/>
                          </w:rPr>
                          <w:t>148</w:t>
                        </w:r>
                      </w:p>
                    </w:tc>
                    <w:tc>
                      <w:tcPr>
                        <w:tcW w:w="307" w:type="pct"/>
                        <w:vAlign w:val="center"/>
                      </w:tcPr>
                      <w:p w:rsidR="00901C15" w:rsidRPr="00136E10" w:rsidRDefault="00901C15" w:rsidP="006C04F7">
                        <w:pPr>
                          <w:jc w:val="center"/>
                          <w:rPr>
                            <w:sz w:val="18"/>
                            <w:szCs w:val="18"/>
                          </w:rPr>
                        </w:pPr>
                        <w:r w:rsidRPr="00136E10">
                          <w:rPr>
                            <w:sz w:val="18"/>
                            <w:szCs w:val="18"/>
                          </w:rPr>
                          <w:t>5,1</w:t>
                        </w:r>
                      </w:p>
                    </w:tc>
                  </w:tr>
                  <w:tr w:rsidR="00901C15" w:rsidRPr="00136E10" w:rsidTr="006C04F7">
                    <w:trPr>
                      <w:trHeight w:val="300"/>
                    </w:trPr>
                    <w:tc>
                      <w:tcPr>
                        <w:tcW w:w="1345" w:type="pct"/>
                        <w:shd w:val="clear" w:color="auto" w:fill="auto"/>
                        <w:noWrap/>
                        <w:tcMar>
                          <w:left w:w="28" w:type="dxa"/>
                          <w:right w:w="28" w:type="dxa"/>
                        </w:tcMar>
                        <w:hideMark/>
                      </w:tcPr>
                      <w:p w:rsidR="00901C15" w:rsidRPr="00136E10" w:rsidRDefault="00901C15" w:rsidP="00901C15">
                        <w:pPr>
                          <w:jc w:val="left"/>
                          <w:rPr>
                            <w:sz w:val="18"/>
                            <w:szCs w:val="18"/>
                          </w:rPr>
                        </w:pPr>
                        <w:r w:rsidRPr="00136E10">
                          <w:rPr>
                            <w:sz w:val="18"/>
                            <w:szCs w:val="18"/>
                          </w:rPr>
                          <w:t>7. Вертикальная интеграция «назад» вне отрасли (кроме финансов)</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9</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9</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8</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9</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33"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0</w:t>
                        </w:r>
                      </w:p>
                    </w:tc>
                    <w:tc>
                      <w:tcPr>
                        <w:tcW w:w="239" w:type="pct"/>
                        <w:shd w:val="clear" w:color="auto" w:fill="auto"/>
                        <w:noWrap/>
                        <w:tcMar>
                          <w:left w:w="0" w:type="dxa"/>
                          <w:right w:w="0" w:type="dxa"/>
                        </w:tcMar>
                        <w:vAlign w:val="center"/>
                        <w:hideMark/>
                      </w:tcPr>
                      <w:p w:rsidR="00901C15" w:rsidRPr="00136E10" w:rsidRDefault="00901C15" w:rsidP="006C04F7">
                        <w:pPr>
                          <w:jc w:val="center"/>
                          <w:rPr>
                            <w:sz w:val="18"/>
                            <w:szCs w:val="18"/>
                          </w:rPr>
                        </w:pPr>
                        <w:r w:rsidRPr="00136E10">
                          <w:rPr>
                            <w:sz w:val="18"/>
                            <w:szCs w:val="18"/>
                          </w:rPr>
                          <w:t>92</w:t>
                        </w:r>
                      </w:p>
                    </w:tc>
                    <w:tc>
                      <w:tcPr>
                        <w:tcW w:w="307" w:type="pct"/>
                        <w:vAlign w:val="center"/>
                      </w:tcPr>
                      <w:p w:rsidR="00901C15" w:rsidRPr="00136E10" w:rsidRDefault="00901C15" w:rsidP="006C04F7">
                        <w:pPr>
                          <w:jc w:val="center"/>
                          <w:rPr>
                            <w:sz w:val="18"/>
                            <w:szCs w:val="18"/>
                          </w:rPr>
                        </w:pPr>
                        <w:r w:rsidRPr="00136E10">
                          <w:rPr>
                            <w:sz w:val="18"/>
                            <w:szCs w:val="18"/>
                          </w:rPr>
                          <w:t>3,1</w:t>
                        </w:r>
                      </w:p>
                    </w:tc>
                  </w:tr>
                  <w:tr w:rsidR="00901C15" w:rsidRPr="00136E10" w:rsidTr="006C04F7">
                    <w:trPr>
                      <w:trHeight w:val="300"/>
                    </w:trPr>
                    <w:tc>
                      <w:tcPr>
                        <w:tcW w:w="1345" w:type="pct"/>
                        <w:shd w:val="clear" w:color="auto" w:fill="auto"/>
                        <w:noWrap/>
                        <w:tcMar>
                          <w:left w:w="28" w:type="dxa"/>
                          <w:right w:w="28" w:type="dxa"/>
                        </w:tcMar>
                        <w:hideMark/>
                      </w:tcPr>
                      <w:p w:rsidR="00901C15" w:rsidRPr="00136E10" w:rsidRDefault="00901C15" w:rsidP="00901C15">
                        <w:pPr>
                          <w:jc w:val="left"/>
                          <w:rPr>
                            <w:sz w:val="18"/>
                            <w:szCs w:val="18"/>
                          </w:rPr>
                        </w:pPr>
                        <w:r w:rsidRPr="00136E10">
                          <w:rPr>
                            <w:sz w:val="18"/>
                            <w:szCs w:val="18"/>
                          </w:rPr>
                          <w:t>8. Вертикальная интеграция «вперед» вне отрасли (кроме финансов)</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5</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9</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8</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9</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9</w:t>
                        </w:r>
                      </w:p>
                    </w:tc>
                    <w:tc>
                      <w:tcPr>
                        <w:tcW w:w="133"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239" w:type="pct"/>
                        <w:shd w:val="clear" w:color="auto" w:fill="auto"/>
                        <w:noWrap/>
                        <w:tcMar>
                          <w:left w:w="0" w:type="dxa"/>
                          <w:right w:w="0" w:type="dxa"/>
                        </w:tcMar>
                        <w:vAlign w:val="center"/>
                        <w:hideMark/>
                      </w:tcPr>
                      <w:p w:rsidR="00901C15" w:rsidRPr="00136E10" w:rsidRDefault="00901C15" w:rsidP="006C04F7">
                        <w:pPr>
                          <w:jc w:val="center"/>
                          <w:rPr>
                            <w:sz w:val="18"/>
                            <w:szCs w:val="18"/>
                          </w:rPr>
                        </w:pPr>
                        <w:r w:rsidRPr="00136E10">
                          <w:rPr>
                            <w:sz w:val="18"/>
                            <w:szCs w:val="18"/>
                          </w:rPr>
                          <w:t>135</w:t>
                        </w:r>
                      </w:p>
                    </w:tc>
                    <w:tc>
                      <w:tcPr>
                        <w:tcW w:w="307" w:type="pct"/>
                        <w:vAlign w:val="center"/>
                      </w:tcPr>
                      <w:p w:rsidR="00901C15" w:rsidRPr="00136E10" w:rsidRDefault="00901C15" w:rsidP="006C04F7">
                        <w:pPr>
                          <w:jc w:val="center"/>
                          <w:rPr>
                            <w:sz w:val="18"/>
                            <w:szCs w:val="18"/>
                          </w:rPr>
                        </w:pPr>
                        <w:r w:rsidRPr="00136E10">
                          <w:rPr>
                            <w:sz w:val="18"/>
                            <w:szCs w:val="18"/>
                          </w:rPr>
                          <w:t>4,6</w:t>
                        </w:r>
                      </w:p>
                    </w:tc>
                  </w:tr>
                  <w:tr w:rsidR="00901C15" w:rsidRPr="00136E10" w:rsidTr="006C04F7">
                    <w:trPr>
                      <w:trHeight w:val="300"/>
                    </w:trPr>
                    <w:tc>
                      <w:tcPr>
                        <w:tcW w:w="1345" w:type="pct"/>
                        <w:shd w:val="clear" w:color="auto" w:fill="auto"/>
                        <w:noWrap/>
                        <w:tcMar>
                          <w:left w:w="28" w:type="dxa"/>
                          <w:right w:w="28" w:type="dxa"/>
                        </w:tcMar>
                        <w:hideMark/>
                      </w:tcPr>
                      <w:p w:rsidR="00901C15" w:rsidRPr="00136E10" w:rsidRDefault="00901C15" w:rsidP="00901C15">
                        <w:pPr>
                          <w:jc w:val="left"/>
                          <w:rPr>
                            <w:sz w:val="18"/>
                            <w:szCs w:val="18"/>
                          </w:rPr>
                        </w:pPr>
                        <w:r w:rsidRPr="00136E10">
                          <w:rPr>
                            <w:sz w:val="18"/>
                            <w:szCs w:val="18"/>
                          </w:rPr>
                          <w:t>9. Несвязанная диверсифик</w:t>
                        </w:r>
                        <w:r w:rsidRPr="00136E10">
                          <w:rPr>
                            <w:sz w:val="18"/>
                            <w:szCs w:val="18"/>
                          </w:rPr>
                          <w:t>а</w:t>
                        </w:r>
                        <w:r w:rsidRPr="00136E10">
                          <w:rPr>
                            <w:sz w:val="18"/>
                            <w:szCs w:val="18"/>
                          </w:rPr>
                          <w:t>ция вне отрасли</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25</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50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42</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46</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58</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85</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75</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58</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57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44</w:t>
                        </w:r>
                      </w:p>
                    </w:tc>
                    <w:tc>
                      <w:tcPr>
                        <w:tcW w:w="133"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w:t>
                        </w:r>
                      </w:p>
                    </w:tc>
                    <w:tc>
                      <w:tcPr>
                        <w:tcW w:w="239" w:type="pct"/>
                        <w:shd w:val="clear" w:color="auto" w:fill="auto"/>
                        <w:noWrap/>
                        <w:tcMar>
                          <w:left w:w="0" w:type="dxa"/>
                          <w:right w:w="0" w:type="dxa"/>
                        </w:tcMar>
                        <w:vAlign w:val="center"/>
                        <w:hideMark/>
                      </w:tcPr>
                      <w:p w:rsidR="00901C15" w:rsidRPr="00136E10" w:rsidRDefault="00901C15" w:rsidP="006C04F7">
                        <w:pPr>
                          <w:jc w:val="center"/>
                          <w:rPr>
                            <w:sz w:val="18"/>
                            <w:szCs w:val="18"/>
                          </w:rPr>
                        </w:pPr>
                        <w:r w:rsidRPr="00136E10">
                          <w:rPr>
                            <w:sz w:val="18"/>
                            <w:szCs w:val="18"/>
                          </w:rPr>
                          <w:t>744</w:t>
                        </w:r>
                      </w:p>
                    </w:tc>
                    <w:tc>
                      <w:tcPr>
                        <w:tcW w:w="307" w:type="pct"/>
                        <w:vAlign w:val="center"/>
                      </w:tcPr>
                      <w:p w:rsidR="00901C15" w:rsidRPr="00136E10" w:rsidRDefault="00901C15" w:rsidP="006C04F7">
                        <w:pPr>
                          <w:jc w:val="center"/>
                          <w:rPr>
                            <w:sz w:val="18"/>
                            <w:szCs w:val="18"/>
                          </w:rPr>
                        </w:pPr>
                        <w:r w:rsidRPr="00136E10">
                          <w:rPr>
                            <w:sz w:val="18"/>
                            <w:szCs w:val="18"/>
                          </w:rPr>
                          <w:t>25,6</w:t>
                        </w:r>
                      </w:p>
                    </w:tc>
                  </w:tr>
                  <w:tr w:rsidR="00901C15" w:rsidRPr="00136E10" w:rsidTr="006C04F7">
                    <w:trPr>
                      <w:trHeight w:val="300"/>
                    </w:trPr>
                    <w:tc>
                      <w:tcPr>
                        <w:tcW w:w="1345" w:type="pct"/>
                        <w:shd w:val="clear" w:color="auto" w:fill="auto"/>
                        <w:noWrap/>
                        <w:tcMar>
                          <w:left w:w="28" w:type="dxa"/>
                          <w:right w:w="28" w:type="dxa"/>
                        </w:tcMar>
                        <w:hideMark/>
                      </w:tcPr>
                      <w:p w:rsidR="00901C15" w:rsidRPr="00136E10" w:rsidRDefault="00901C15" w:rsidP="00901C15">
                        <w:pPr>
                          <w:jc w:val="left"/>
                          <w:rPr>
                            <w:sz w:val="18"/>
                            <w:szCs w:val="18"/>
                          </w:rPr>
                        </w:pPr>
                        <w:r w:rsidRPr="00136E10">
                          <w:rPr>
                            <w:sz w:val="18"/>
                            <w:szCs w:val="18"/>
                          </w:rPr>
                          <w:t>10. Приобретение финансовых организаций компаниями о</w:t>
                        </w:r>
                        <w:r w:rsidRPr="00136E10">
                          <w:rPr>
                            <w:sz w:val="18"/>
                            <w:szCs w:val="18"/>
                          </w:rPr>
                          <w:t>т</w:t>
                        </w:r>
                        <w:r w:rsidRPr="00136E10">
                          <w:rPr>
                            <w:sz w:val="18"/>
                            <w:szCs w:val="18"/>
                          </w:rPr>
                          <w:t xml:space="preserve">расли </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5</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5</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w:t>
                        </w:r>
                      </w:p>
                    </w:tc>
                    <w:tc>
                      <w:tcPr>
                        <w:tcW w:w="133"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0</w:t>
                        </w:r>
                      </w:p>
                    </w:tc>
                    <w:tc>
                      <w:tcPr>
                        <w:tcW w:w="239" w:type="pct"/>
                        <w:shd w:val="clear" w:color="auto" w:fill="auto"/>
                        <w:noWrap/>
                        <w:tcMar>
                          <w:left w:w="0" w:type="dxa"/>
                          <w:right w:w="0" w:type="dxa"/>
                        </w:tcMar>
                        <w:vAlign w:val="center"/>
                        <w:hideMark/>
                      </w:tcPr>
                      <w:p w:rsidR="00901C15" w:rsidRPr="00136E10" w:rsidRDefault="00901C15" w:rsidP="006C04F7">
                        <w:pPr>
                          <w:jc w:val="center"/>
                          <w:rPr>
                            <w:sz w:val="18"/>
                            <w:szCs w:val="18"/>
                          </w:rPr>
                        </w:pPr>
                        <w:r w:rsidRPr="00136E10">
                          <w:rPr>
                            <w:sz w:val="18"/>
                            <w:szCs w:val="18"/>
                          </w:rPr>
                          <w:t>27</w:t>
                        </w:r>
                      </w:p>
                    </w:tc>
                    <w:tc>
                      <w:tcPr>
                        <w:tcW w:w="307" w:type="pct"/>
                        <w:vAlign w:val="center"/>
                      </w:tcPr>
                      <w:p w:rsidR="00901C15" w:rsidRPr="00136E10" w:rsidRDefault="00901C15" w:rsidP="006C04F7">
                        <w:pPr>
                          <w:jc w:val="center"/>
                          <w:rPr>
                            <w:sz w:val="18"/>
                            <w:szCs w:val="18"/>
                          </w:rPr>
                        </w:pPr>
                        <w:r w:rsidRPr="00136E10">
                          <w:rPr>
                            <w:sz w:val="18"/>
                            <w:szCs w:val="18"/>
                          </w:rPr>
                          <w:t>0,9</w:t>
                        </w:r>
                      </w:p>
                    </w:tc>
                  </w:tr>
                  <w:tr w:rsidR="00901C15" w:rsidRPr="00136E10" w:rsidTr="006C04F7">
                    <w:trPr>
                      <w:trHeight w:val="300"/>
                    </w:trPr>
                    <w:tc>
                      <w:tcPr>
                        <w:tcW w:w="1345" w:type="pct"/>
                        <w:shd w:val="clear" w:color="auto" w:fill="auto"/>
                        <w:noWrap/>
                        <w:tcMar>
                          <w:left w:w="28" w:type="dxa"/>
                          <w:right w:w="28" w:type="dxa"/>
                        </w:tcMar>
                        <w:hideMark/>
                      </w:tcPr>
                      <w:p w:rsidR="00901C15" w:rsidRPr="00136E10" w:rsidRDefault="00901C15" w:rsidP="00901C15">
                        <w:pPr>
                          <w:jc w:val="left"/>
                          <w:rPr>
                            <w:sz w:val="18"/>
                            <w:szCs w:val="18"/>
                          </w:rPr>
                        </w:pPr>
                        <w:r w:rsidRPr="00136E10">
                          <w:rPr>
                            <w:sz w:val="18"/>
                            <w:szCs w:val="18"/>
                          </w:rPr>
                          <w:t>11. Приобретение финансов</w:t>
                        </w:r>
                        <w:r w:rsidRPr="00136E10">
                          <w:rPr>
                            <w:sz w:val="18"/>
                            <w:szCs w:val="18"/>
                          </w:rPr>
                          <w:t>ы</w:t>
                        </w:r>
                        <w:r w:rsidRPr="00136E10">
                          <w:rPr>
                            <w:sz w:val="18"/>
                            <w:szCs w:val="18"/>
                          </w:rPr>
                          <w:t>ми организациями компаний отрасли</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15</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24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32</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30</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38</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33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47</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68</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74</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113</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79</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79</w:t>
                        </w:r>
                      </w:p>
                    </w:tc>
                    <w:tc>
                      <w:tcPr>
                        <w:tcW w:w="186"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86</w:t>
                        </w:r>
                      </w:p>
                    </w:tc>
                    <w:tc>
                      <w:tcPr>
                        <w:tcW w:w="133" w:type="pct"/>
                        <w:shd w:val="clear" w:color="auto" w:fill="auto"/>
                        <w:noWrap/>
                        <w:tcMar>
                          <w:left w:w="28" w:type="dxa"/>
                          <w:right w:w="28" w:type="dxa"/>
                        </w:tcMar>
                        <w:vAlign w:val="center"/>
                        <w:hideMark/>
                      </w:tcPr>
                      <w:p w:rsidR="00901C15" w:rsidRPr="00136E10" w:rsidRDefault="00901C15" w:rsidP="006C04F7">
                        <w:pPr>
                          <w:jc w:val="center"/>
                          <w:rPr>
                            <w:sz w:val="18"/>
                            <w:szCs w:val="18"/>
                          </w:rPr>
                        </w:pPr>
                        <w:r w:rsidRPr="00136E10">
                          <w:rPr>
                            <w:sz w:val="18"/>
                            <w:szCs w:val="18"/>
                          </w:rPr>
                          <w:t>12</w:t>
                        </w:r>
                      </w:p>
                    </w:tc>
                    <w:tc>
                      <w:tcPr>
                        <w:tcW w:w="239" w:type="pct"/>
                        <w:shd w:val="clear" w:color="auto" w:fill="auto"/>
                        <w:noWrap/>
                        <w:tcMar>
                          <w:left w:w="0" w:type="dxa"/>
                          <w:right w:w="0" w:type="dxa"/>
                        </w:tcMar>
                        <w:vAlign w:val="center"/>
                        <w:hideMark/>
                      </w:tcPr>
                      <w:p w:rsidR="00901C15" w:rsidRPr="00136E10" w:rsidRDefault="00901C15" w:rsidP="006C04F7">
                        <w:pPr>
                          <w:jc w:val="center"/>
                          <w:rPr>
                            <w:sz w:val="18"/>
                            <w:szCs w:val="18"/>
                          </w:rPr>
                        </w:pPr>
                        <w:r w:rsidRPr="00136E10">
                          <w:rPr>
                            <w:sz w:val="18"/>
                            <w:szCs w:val="18"/>
                          </w:rPr>
                          <w:t>755</w:t>
                        </w:r>
                      </w:p>
                    </w:tc>
                    <w:tc>
                      <w:tcPr>
                        <w:tcW w:w="307" w:type="pct"/>
                        <w:vAlign w:val="center"/>
                      </w:tcPr>
                      <w:p w:rsidR="00901C15" w:rsidRPr="00136E10" w:rsidRDefault="00901C15" w:rsidP="006C04F7">
                        <w:pPr>
                          <w:jc w:val="center"/>
                          <w:rPr>
                            <w:sz w:val="18"/>
                            <w:szCs w:val="18"/>
                          </w:rPr>
                        </w:pPr>
                        <w:r w:rsidRPr="00136E10">
                          <w:rPr>
                            <w:sz w:val="18"/>
                            <w:szCs w:val="18"/>
                          </w:rPr>
                          <w:t>25,9</w:t>
                        </w:r>
                      </w:p>
                    </w:tc>
                  </w:tr>
                  <w:tr w:rsidR="00901C15" w:rsidRPr="00136E10" w:rsidTr="006C04F7">
                    <w:trPr>
                      <w:cantSplit/>
                      <w:trHeight w:val="470"/>
                    </w:trPr>
                    <w:tc>
                      <w:tcPr>
                        <w:tcW w:w="1345"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Итого</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51</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64</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154</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120</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225</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160</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135</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184</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150</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173</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227</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238</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284</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204</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218</w:t>
                        </w:r>
                      </w:p>
                    </w:tc>
                    <w:tc>
                      <w:tcPr>
                        <w:tcW w:w="186"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194</w:t>
                        </w:r>
                      </w:p>
                    </w:tc>
                    <w:tc>
                      <w:tcPr>
                        <w:tcW w:w="133" w:type="pct"/>
                        <w:shd w:val="clear" w:color="auto" w:fill="auto"/>
                        <w:noWrap/>
                        <w:tcMar>
                          <w:left w:w="28" w:type="dxa"/>
                          <w:right w:w="28" w:type="dxa"/>
                        </w:tcMar>
                        <w:vAlign w:val="center"/>
                        <w:hideMark/>
                      </w:tcPr>
                      <w:p w:rsidR="00901C15" w:rsidRPr="00136E10" w:rsidRDefault="00901C15" w:rsidP="006C04F7">
                        <w:pPr>
                          <w:jc w:val="center"/>
                          <w:rPr>
                            <w:bCs/>
                            <w:sz w:val="18"/>
                            <w:szCs w:val="18"/>
                          </w:rPr>
                        </w:pPr>
                        <w:r w:rsidRPr="00136E10">
                          <w:rPr>
                            <w:bCs/>
                            <w:sz w:val="18"/>
                            <w:szCs w:val="18"/>
                          </w:rPr>
                          <w:t>18</w:t>
                        </w:r>
                      </w:p>
                    </w:tc>
                    <w:tc>
                      <w:tcPr>
                        <w:tcW w:w="239" w:type="pct"/>
                        <w:shd w:val="clear" w:color="auto" w:fill="auto"/>
                        <w:noWrap/>
                        <w:tcMar>
                          <w:left w:w="0" w:type="dxa"/>
                          <w:right w:w="0" w:type="dxa"/>
                        </w:tcMar>
                        <w:vAlign w:val="center"/>
                        <w:hideMark/>
                      </w:tcPr>
                      <w:p w:rsidR="00901C15" w:rsidRPr="00136E10" w:rsidRDefault="00901C15" w:rsidP="006C04F7">
                        <w:pPr>
                          <w:jc w:val="center"/>
                          <w:rPr>
                            <w:bCs/>
                            <w:sz w:val="18"/>
                            <w:szCs w:val="18"/>
                          </w:rPr>
                        </w:pPr>
                        <w:r w:rsidRPr="00136E10">
                          <w:rPr>
                            <w:bCs/>
                            <w:sz w:val="18"/>
                            <w:szCs w:val="18"/>
                          </w:rPr>
                          <w:t>2904</w:t>
                        </w:r>
                      </w:p>
                    </w:tc>
                    <w:tc>
                      <w:tcPr>
                        <w:tcW w:w="307" w:type="pct"/>
                        <w:vAlign w:val="center"/>
                      </w:tcPr>
                      <w:p w:rsidR="00901C15" w:rsidRPr="00136E10" w:rsidRDefault="00901C15" w:rsidP="006C04F7">
                        <w:pPr>
                          <w:jc w:val="center"/>
                          <w:rPr>
                            <w:bCs/>
                            <w:sz w:val="18"/>
                            <w:szCs w:val="18"/>
                          </w:rPr>
                        </w:pPr>
                        <w:r w:rsidRPr="00136E10">
                          <w:rPr>
                            <w:bCs/>
                            <w:sz w:val="18"/>
                            <w:szCs w:val="18"/>
                          </w:rPr>
                          <w:t>100</w:t>
                        </w:r>
                      </w:p>
                    </w:tc>
                  </w:tr>
                </w:tbl>
                <w:p w:rsidR="00901C15" w:rsidRDefault="00901C15"/>
              </w:txbxContent>
            </v:textbox>
            <w10:wrap type="topAndBottom"/>
          </v:shape>
        </w:pict>
      </w:r>
      <w:r w:rsidR="00136E10" w:rsidRPr="00136E10">
        <w:rPr>
          <w:b/>
          <w:bCs/>
        </w:rPr>
        <w:t>Результаты и выводы</w:t>
      </w:r>
    </w:p>
    <w:p w:rsidR="00136E10" w:rsidRPr="00136E10" w:rsidRDefault="00136E10" w:rsidP="00136E10">
      <w:pPr>
        <w:ind w:firstLine="397"/>
      </w:pPr>
      <w:r w:rsidRPr="00136E10">
        <w:t>На основании приведенных данных сделан вывод о том, что за рассматриваемый период на рынке слияний и поглощений имели место сделки слияний и поглощений всех предложенных нами типов. Это свидетельствует о том, что предложе</w:t>
      </w:r>
      <w:r w:rsidRPr="00136E10">
        <w:t>н</w:t>
      </w:r>
      <w:r w:rsidRPr="00136E10">
        <w:t xml:space="preserve">ная </w:t>
      </w:r>
      <w:r w:rsidRPr="00A67B84">
        <w:t>типологи</w:t>
      </w:r>
      <w:r w:rsidR="00494F3A" w:rsidRPr="00A67B84">
        <w:t>я</w:t>
      </w:r>
      <w:r w:rsidRPr="00136E10">
        <w:t xml:space="preserve"> отражает реальную структуру ры</w:t>
      </w:r>
      <w:r w:rsidRPr="00136E10">
        <w:t>н</w:t>
      </w:r>
      <w:r w:rsidRPr="00136E10">
        <w:t>ка слияний и поглощений. Наибольшее число сд</w:t>
      </w:r>
      <w:r w:rsidRPr="00136E10">
        <w:t>е</w:t>
      </w:r>
      <w:r w:rsidRPr="00136E10">
        <w:t>лок характерно для стратегии приобретения ф</w:t>
      </w:r>
      <w:r w:rsidRPr="00136E10">
        <w:t>и</w:t>
      </w:r>
      <w:r w:rsidRPr="00136E10">
        <w:t>нансовыми организаций предприятий энергетики (стратегия 11), что подтверждает необходимость выделения стратегий 10 и 11 в отдельное множ</w:t>
      </w:r>
      <w:r w:rsidRPr="00136E10">
        <w:t>е</w:t>
      </w:r>
      <w:r w:rsidRPr="00136E10">
        <w:t>ство. Также большое число сделок характерно для стратегии несвязанной диверсификации вне отра</w:t>
      </w:r>
      <w:r w:rsidRPr="00136E10">
        <w:t>с</w:t>
      </w:r>
      <w:r w:rsidRPr="00136E10">
        <w:t>ли (стратегия 9), и этим подтверждается объекти</w:t>
      </w:r>
      <w:r w:rsidRPr="00136E10">
        <w:t>в</w:t>
      </w:r>
      <w:r w:rsidRPr="00136E10">
        <w:t>ность выделения стратегий несвязанной диверс</w:t>
      </w:r>
      <w:r w:rsidRPr="00136E10">
        <w:t>и</w:t>
      </w:r>
      <w:r w:rsidRPr="00136E10">
        <w:t>фикации внутри отрасли и вне отрасли как сам</w:t>
      </w:r>
      <w:r w:rsidRPr="00136E10">
        <w:t>о</w:t>
      </w:r>
      <w:r w:rsidRPr="00136E10">
        <w:t>стоятельных типов стратегий. В целом около п</w:t>
      </w:r>
      <w:r w:rsidRPr="00136E10">
        <w:t>о</w:t>
      </w:r>
      <w:r w:rsidRPr="00136E10">
        <w:t>ловины сделок компаний связаны с данными дв</w:t>
      </w:r>
      <w:r w:rsidRPr="00136E10">
        <w:t>у</w:t>
      </w:r>
      <w:r w:rsidRPr="00136E10">
        <w:t>мя видами стратегий.</w:t>
      </w:r>
    </w:p>
    <w:p w:rsidR="00136E10" w:rsidRPr="00136E10" w:rsidRDefault="00136E10" w:rsidP="00136E10">
      <w:pPr>
        <w:ind w:firstLine="397"/>
      </w:pPr>
      <w:r w:rsidRPr="00136E10">
        <w:t>Далее, анализ показал, что стратегии интегр</w:t>
      </w:r>
      <w:r w:rsidRPr="00136E10">
        <w:t>а</w:t>
      </w:r>
      <w:r w:rsidRPr="00136E10">
        <w:t>ции наблюдались в 1020 сделках, или 35 % от их общего количества. Стратегии интеграции прео</w:t>
      </w:r>
      <w:r w:rsidRPr="00136E10">
        <w:t>б</w:t>
      </w:r>
      <w:r w:rsidRPr="00136E10">
        <w:t>ладали в период до 2007 года. Среди всех сделок данного типа наиболее распространенными явл</w:t>
      </w:r>
      <w:r w:rsidRPr="00136E10">
        <w:t>я</w:t>
      </w:r>
      <w:r w:rsidRPr="00136E10">
        <w:t>ются сделки, связанные с реализацией стратегии горизонтальной интеграции внутри энергетики. Сделки диверсификации составляют около 65 % от общего числа сделок (1884 сделки). Данные стр</w:t>
      </w:r>
      <w:r w:rsidRPr="00136E10">
        <w:t>а</w:t>
      </w:r>
      <w:r w:rsidRPr="00136E10">
        <w:t>тегии преобладают на рынке в период после 2008 года. Закономерно, что число сделок приобретения энергетическими компаниями финансовых орган</w:t>
      </w:r>
      <w:r w:rsidRPr="00136E10">
        <w:t>и</w:t>
      </w:r>
      <w:r w:rsidRPr="00136E10">
        <w:t>заций намного меньше числа сделок приобретения финансовыми организациями энергетических ко</w:t>
      </w:r>
      <w:r w:rsidRPr="00136E10">
        <w:t>м</w:t>
      </w:r>
      <w:r w:rsidRPr="00136E10">
        <w:t>паний. Наибольшая активность сделок по мотиву диверсификации была характерна для 2013–2014 года. Следует также отметить более высокую в</w:t>
      </w:r>
      <w:r w:rsidRPr="00136E10">
        <w:t>о</w:t>
      </w:r>
      <w:r w:rsidRPr="00136E10">
        <w:t>латильность числа сделок для стратегии покупки финансовыми организациями энергетических ко</w:t>
      </w:r>
      <w:r w:rsidRPr="00136E10">
        <w:t>м</w:t>
      </w:r>
      <w:r w:rsidRPr="00136E10">
        <w:t>паний: данные сделки имеют под собой во многих случаях мотив размещения средств с целью пол</w:t>
      </w:r>
      <w:r w:rsidRPr="00136E10">
        <w:t>у</w:t>
      </w:r>
      <w:r w:rsidRPr="00136E10">
        <w:t>чения дохода, что предопределяет большую зав</w:t>
      </w:r>
      <w:r w:rsidRPr="00136E10">
        <w:t>и</w:t>
      </w:r>
      <w:r w:rsidRPr="00136E10">
        <w:t>симость данной стратегии от макроэкономических показателей.</w:t>
      </w:r>
    </w:p>
    <w:p w:rsidR="00136E10" w:rsidRPr="00136E10" w:rsidRDefault="00136E10" w:rsidP="00136E10">
      <w:pPr>
        <w:ind w:firstLine="397"/>
      </w:pPr>
      <w:r w:rsidRPr="00136E10">
        <w:t>Таким образом, авторами предложена типол</w:t>
      </w:r>
      <w:r w:rsidRPr="00136E10">
        <w:t>о</w:t>
      </w:r>
      <w:r w:rsidRPr="00136E10">
        <w:t>гия стратегий корпоративного развития и по</w:t>
      </w:r>
      <w:r w:rsidRPr="00136E10">
        <w:t>д</w:t>
      </w:r>
      <w:r w:rsidRPr="00136E10">
        <w:lastRenderedPageBreak/>
        <w:t>тверждена ее обоснованность на большом массиве данных. Предложенная типология будет использ</w:t>
      </w:r>
      <w:r w:rsidRPr="00136E10">
        <w:t>о</w:t>
      </w:r>
      <w:r w:rsidRPr="00136E10">
        <w:t>вана в дальнейших исследованиях в качестве о</w:t>
      </w:r>
      <w:r w:rsidRPr="00136E10">
        <w:t>д</w:t>
      </w:r>
      <w:r w:rsidRPr="00136E10">
        <w:t>ного из ключевых факторов, определяющих пар</w:t>
      </w:r>
      <w:r w:rsidRPr="00136E10">
        <w:t>а</w:t>
      </w:r>
      <w:r w:rsidRPr="00136E10">
        <w:t>метры сделок слияний и поглощений. Типология также может быть использована для решения ра</w:t>
      </w:r>
      <w:r w:rsidRPr="00136E10">
        <w:t>з</w:t>
      </w:r>
      <w:r w:rsidRPr="00136E10">
        <w:t>личных задач из области теории и практики ко</w:t>
      </w:r>
      <w:r w:rsidRPr="00136E10">
        <w:t>р</w:t>
      </w:r>
      <w:r w:rsidRPr="00136E10">
        <w:t>поративного управления, в том числе для обосн</w:t>
      </w:r>
      <w:r w:rsidRPr="00136E10">
        <w:t>о</w:t>
      </w:r>
      <w:r w:rsidRPr="00136E10">
        <w:t>вания выбора стратегии компании с использован</w:t>
      </w:r>
      <w:r w:rsidRPr="00136E10">
        <w:t>и</w:t>
      </w:r>
      <w:r w:rsidRPr="00136E10">
        <w:t>ем сделок слияний и поглощений.</w:t>
      </w:r>
    </w:p>
    <w:p w:rsidR="00136E10" w:rsidRPr="00A67B84" w:rsidRDefault="00136E10" w:rsidP="00136E10">
      <w:pPr>
        <w:ind w:firstLine="397"/>
        <w:rPr>
          <w:b/>
          <w:bCs/>
          <w:sz w:val="32"/>
        </w:rPr>
      </w:pPr>
    </w:p>
    <w:p w:rsidR="00136E10" w:rsidRPr="00136E10" w:rsidRDefault="00136E10" w:rsidP="00136E10">
      <w:pPr>
        <w:jc w:val="center"/>
        <w:rPr>
          <w:b/>
          <w:bCs/>
          <w:szCs w:val="28"/>
          <w:lang w:val="en-US"/>
        </w:rPr>
      </w:pPr>
      <w:r w:rsidRPr="00136E10">
        <w:rPr>
          <w:b/>
          <w:bCs/>
          <w:szCs w:val="28"/>
        </w:rPr>
        <w:t>Литература</w:t>
      </w:r>
    </w:p>
    <w:p w:rsidR="00136E10" w:rsidRPr="00136E10" w:rsidRDefault="00136E10" w:rsidP="00136E10">
      <w:pPr>
        <w:ind w:firstLine="397"/>
      </w:pPr>
      <w:r w:rsidRPr="00136E10">
        <w:rPr>
          <w:lang w:val="en-US"/>
        </w:rPr>
        <w:t>1. The Comprehensive Dictionary of the Co</w:t>
      </w:r>
      <w:r w:rsidRPr="00136E10">
        <w:rPr>
          <w:lang w:val="en-US"/>
        </w:rPr>
        <w:t>n</w:t>
      </w:r>
      <w:r w:rsidRPr="00136E10">
        <w:rPr>
          <w:lang w:val="en-US"/>
        </w:rPr>
        <w:t xml:space="preserve">temporary Russian Language. </w:t>
      </w:r>
      <w:r w:rsidRPr="00136E10">
        <w:t xml:space="preserve">2006, </w:t>
      </w:r>
      <w:r w:rsidRPr="00136E10">
        <w:rPr>
          <w:lang w:val="en-US"/>
        </w:rPr>
        <w:t>T</w:t>
      </w:r>
      <w:r w:rsidRPr="00136E10">
        <w:t>.</w:t>
      </w:r>
      <w:r w:rsidRPr="00136E10">
        <w:rPr>
          <w:lang w:val="en-US"/>
        </w:rPr>
        <w:t>F</w:t>
      </w:r>
      <w:r w:rsidRPr="00136E10">
        <w:t xml:space="preserve">. </w:t>
      </w:r>
      <w:proofErr w:type="spellStart"/>
      <w:r w:rsidRPr="00136E10">
        <w:rPr>
          <w:lang w:val="en-US"/>
        </w:rPr>
        <w:t>Yefremova</w:t>
      </w:r>
      <w:proofErr w:type="spellEnd"/>
      <w:r w:rsidRPr="00136E10">
        <w:t xml:space="preserve">. 180,000 </w:t>
      </w:r>
      <w:r w:rsidRPr="00136E10">
        <w:rPr>
          <w:lang w:val="en-US"/>
        </w:rPr>
        <w:t>entries</w:t>
      </w:r>
      <w:r w:rsidRPr="00136E10">
        <w:t>.</w:t>
      </w:r>
    </w:p>
    <w:p w:rsidR="00136E10" w:rsidRPr="00136E10" w:rsidRDefault="00136E10" w:rsidP="00136E10">
      <w:pPr>
        <w:ind w:firstLine="397"/>
      </w:pPr>
      <w:r w:rsidRPr="00136E10">
        <w:t xml:space="preserve">2. Грант Р.М. Современный стратегический анализ. 5-е изд. / пер. с англ. под ред. В.Н. </w:t>
      </w:r>
      <w:proofErr w:type="spellStart"/>
      <w:r w:rsidRPr="00136E10">
        <w:t>Фунт</w:t>
      </w:r>
      <w:r w:rsidRPr="00136E10">
        <w:t>о</w:t>
      </w:r>
      <w:r w:rsidRPr="00136E10">
        <w:t>ва</w:t>
      </w:r>
      <w:proofErr w:type="spellEnd"/>
      <w:r w:rsidRPr="00136E10">
        <w:t>. – СПб.: Питер, 2008. – 560 с.</w:t>
      </w:r>
    </w:p>
    <w:p w:rsidR="00136E10" w:rsidRPr="00136E10" w:rsidRDefault="00136E10" w:rsidP="00136E10">
      <w:pPr>
        <w:ind w:firstLine="397"/>
      </w:pPr>
      <w:r w:rsidRPr="00136E10">
        <w:t>3. Кузьменко О.В., Чернышов Д.С. Роль стр</w:t>
      </w:r>
      <w:r w:rsidRPr="00136E10">
        <w:t>а</w:t>
      </w:r>
      <w:r w:rsidRPr="00136E10">
        <w:t>тегического планирования в повышении устойч</w:t>
      </w:r>
      <w:r w:rsidRPr="00136E10">
        <w:t>и</w:t>
      </w:r>
      <w:r w:rsidRPr="00136E10">
        <w:t>вости развития предприятия // Концепт. – 2019. – № 1. URL: https://cyberleninka.ru/article/n/rol-strategicheskogo-planirovaniya-v-povyshenii-ustoychivosti-razvitiya-predpriyatiya (дата обращ</w:t>
      </w:r>
      <w:r w:rsidRPr="00136E10">
        <w:t>е</w:t>
      </w:r>
      <w:r w:rsidRPr="00136E10">
        <w:t>ния: 08.04.2021).</w:t>
      </w:r>
    </w:p>
    <w:p w:rsidR="00A67B84" w:rsidRPr="00BC27B3" w:rsidRDefault="00136E10" w:rsidP="00136E10">
      <w:pPr>
        <w:ind w:firstLine="397"/>
      </w:pPr>
      <w:r w:rsidRPr="00136E10">
        <w:t>4. Свиридова С.В., Ильина Е.А. Подходы к разработке и реализации стратегии развития пр</w:t>
      </w:r>
      <w:r w:rsidRPr="00136E10">
        <w:t>о</w:t>
      </w:r>
      <w:r w:rsidRPr="00136E10">
        <w:t>мышленных предприятий // ЭКОНОМИНФО. – 2019. – № 2-3. URL: https://cyberleninka.ru/article/</w:t>
      </w:r>
      <w:r w:rsidR="00901C15">
        <w:t xml:space="preserve"> </w:t>
      </w:r>
      <w:r w:rsidR="00A67B84" w:rsidRPr="00136E10">
        <w:t>n/podhody-k-razrabotke-i-realizatsii-strategii-razvitiya-promyshlennyh-predpriyatiy (дата обращ</w:t>
      </w:r>
      <w:r w:rsidR="00A67B84" w:rsidRPr="00136E10">
        <w:t>е</w:t>
      </w:r>
      <w:r w:rsidR="00A67B84" w:rsidRPr="00136E10">
        <w:t>ния: 11.04.2021).</w:t>
      </w:r>
    </w:p>
    <w:p w:rsidR="00BC27B3" w:rsidRPr="00BC27B3" w:rsidRDefault="00F5713B" w:rsidP="00136E10">
      <w:pPr>
        <w:ind w:firstLine="397"/>
        <w:rPr>
          <w:sz w:val="2"/>
          <w:szCs w:val="2"/>
        </w:rPr>
      </w:pPr>
      <w:r w:rsidRPr="00F5713B">
        <w:rPr>
          <w:noProof/>
          <w:szCs w:val="18"/>
        </w:rPr>
        <w:pict>
          <v:shape id="_x0000_s1432" type="#_x0000_t202" style="position:absolute;left:0;text-align:left;margin-left:.35pt;margin-top:33.95pt;width:465.5pt;height:275.5pt;z-index:251666432" stroked="f">
            <v:textbox style="mso-next-textbox:#_x0000_s1432">
              <w:txbxContent>
                <w:p w:rsidR="00A67B84" w:rsidRPr="00136E10" w:rsidRDefault="00A67B84" w:rsidP="00A67B84">
                  <w:pPr>
                    <w:spacing w:after="60"/>
                    <w:ind w:firstLine="397"/>
                  </w:pPr>
                  <w:r w:rsidRPr="00136E10">
                    <w:rPr>
                      <w:b/>
                    </w:rPr>
                    <w:t>Просвирина Ирина Игоревна</w:t>
                  </w:r>
                  <w:r w:rsidRPr="00136E10">
                    <w:t>, доктор экономических наук, профессор кафедры «Экономика и ф</w:t>
                  </w:r>
                  <w:r w:rsidRPr="00136E10">
                    <w:t>и</w:t>
                  </w:r>
                  <w:r w:rsidRPr="00136E10">
                    <w:t xml:space="preserve">нансы», Южно-Уральский государственный университет (г. Челябинск), </w:t>
                  </w:r>
                  <w:proofErr w:type="spellStart"/>
                  <w:r w:rsidRPr="00A67B84">
                    <w:rPr>
                      <w:lang w:val="en-US"/>
                    </w:rPr>
                    <w:t>irina</w:t>
                  </w:r>
                  <w:proofErr w:type="spellEnd"/>
                  <w:r w:rsidRPr="00A67B84">
                    <w:t>.</w:t>
                  </w:r>
                  <w:proofErr w:type="spellStart"/>
                  <w:r w:rsidRPr="00A67B84">
                    <w:t>prosvirina@</w:t>
                  </w:r>
                  <w:r w:rsidRPr="00A67B84">
                    <w:rPr>
                      <w:lang w:val="en-US"/>
                    </w:rPr>
                    <w:t>susu</w:t>
                  </w:r>
                  <w:bookmarkStart w:id="2" w:name="_GoBack"/>
                  <w:bookmarkEnd w:id="2"/>
                  <w:proofErr w:type="spellEnd"/>
                  <w:r w:rsidRPr="00A67B84">
                    <w:t>.</w:t>
                  </w:r>
                  <w:proofErr w:type="spellStart"/>
                  <w:r w:rsidRPr="00136E10">
                    <w:t>ru</w:t>
                  </w:r>
                  <w:proofErr w:type="spellEnd"/>
                </w:p>
                <w:p w:rsidR="00A67B84" w:rsidRPr="00136E10" w:rsidRDefault="00A67B84" w:rsidP="00A67B84">
                  <w:pPr>
                    <w:ind w:firstLine="397"/>
                  </w:pPr>
                  <w:proofErr w:type="spellStart"/>
                  <w:r w:rsidRPr="00136E10">
                    <w:rPr>
                      <w:b/>
                    </w:rPr>
                    <w:t>Стерхов</w:t>
                  </w:r>
                  <w:proofErr w:type="spellEnd"/>
                  <w:r w:rsidRPr="00136E10">
                    <w:rPr>
                      <w:b/>
                    </w:rPr>
                    <w:t xml:space="preserve"> Александр Викторович</w:t>
                  </w:r>
                  <w:r w:rsidRPr="00136E10">
                    <w:t xml:space="preserve">, </w:t>
                  </w:r>
                  <w:r>
                    <w:t xml:space="preserve">аспирант, </w:t>
                  </w:r>
                  <w:r w:rsidRPr="00136E10">
                    <w:t xml:space="preserve">Южно-Уральский государственный университет </w:t>
                  </w:r>
                  <w:r>
                    <w:br/>
                  </w:r>
                  <w:r w:rsidRPr="00136E10">
                    <w:t>(г.</w:t>
                  </w:r>
                  <w:r>
                    <w:rPr>
                      <w:lang w:val="en-US"/>
                    </w:rPr>
                    <w:t> </w:t>
                  </w:r>
                  <w:r w:rsidRPr="00136E10">
                    <w:t>Челябинск)</w:t>
                  </w:r>
                  <w:r>
                    <w:t>;</w:t>
                  </w:r>
                  <w:r w:rsidRPr="00136E10">
                    <w:t xml:space="preserve"> старший преподаватель, Уральский федеральный университет им. Первого Президента России Б.Н. Ельцина (г. Екатеринбург), a.v.sterkhov@urfu.ru</w:t>
                  </w:r>
                </w:p>
                <w:p w:rsidR="00A67B84" w:rsidRPr="00136E10" w:rsidRDefault="00A67B84" w:rsidP="00A67B84">
                  <w:pPr>
                    <w:ind w:firstLine="397"/>
                    <w:rPr>
                      <w:rStyle w:val="afa"/>
                      <w:b/>
                      <w:bCs/>
                      <w:color w:val="auto"/>
                      <w:u w:val="none"/>
                    </w:rPr>
                  </w:pPr>
                </w:p>
                <w:p w:rsidR="00A67B84" w:rsidRPr="00136E10" w:rsidRDefault="00A67B84" w:rsidP="00A67B84">
                  <w:pPr>
                    <w:pStyle w:val="afff8"/>
                    <w:spacing w:after="0" w:line="240" w:lineRule="auto"/>
                    <w:ind w:left="0"/>
                    <w:jc w:val="right"/>
                    <w:rPr>
                      <w:rFonts w:ascii="Times New Roman" w:hAnsi="Times New Roman"/>
                      <w:b/>
                      <w:i/>
                      <w:sz w:val="18"/>
                      <w:szCs w:val="18"/>
                    </w:rPr>
                  </w:pPr>
                  <w:r w:rsidRPr="00136E10">
                    <w:rPr>
                      <w:rFonts w:ascii="Times New Roman" w:hAnsi="Times New Roman"/>
                      <w:b/>
                      <w:i/>
                      <w:sz w:val="18"/>
                      <w:szCs w:val="18"/>
                    </w:rPr>
                    <w:t>Поступила в редакцию 24 ноября 2021 г.</w:t>
                  </w:r>
                </w:p>
                <w:p w:rsidR="00A67B84" w:rsidRPr="00C61960" w:rsidRDefault="00A67B84" w:rsidP="00A67B84">
                  <w:pPr>
                    <w:rPr>
                      <w:lang w:val="en-US"/>
                    </w:rPr>
                  </w:pPr>
                  <w:r w:rsidRPr="00C61960">
                    <w:rPr>
                      <w:lang w:val="en-US"/>
                    </w:rPr>
                    <w:t>___________________________</w:t>
                  </w:r>
                  <w:r w:rsidRPr="00DE62AF">
                    <w:rPr>
                      <w:lang w:val="en-US"/>
                    </w:rPr>
                    <w:t>_______</w:t>
                  </w:r>
                  <w:r w:rsidRPr="00C61960">
                    <w:rPr>
                      <w:lang w:val="en-US"/>
                    </w:rPr>
                    <w:t>________________________________________________________</w:t>
                  </w:r>
                </w:p>
                <w:p w:rsidR="00A67B84" w:rsidRPr="00136E10" w:rsidRDefault="00A67B84" w:rsidP="00A67B84">
                  <w:pPr>
                    <w:tabs>
                      <w:tab w:val="left" w:pos="993"/>
                    </w:tabs>
                    <w:spacing w:before="120"/>
                    <w:jc w:val="right"/>
                    <w:rPr>
                      <w:rFonts w:ascii="Arial" w:hAnsi="Arial" w:cs="Arial"/>
                      <w:b/>
                      <w:szCs w:val="18"/>
                      <w:lang w:val="en-US"/>
                    </w:rPr>
                  </w:pPr>
                  <w:r w:rsidRPr="00136E10">
                    <w:rPr>
                      <w:rFonts w:ascii="Arial" w:hAnsi="Arial" w:cs="Arial"/>
                      <w:b/>
                      <w:szCs w:val="18"/>
                      <w:lang w:val="en-US"/>
                    </w:rPr>
                    <w:t>DOI: 10.14529/em210411</w:t>
                  </w:r>
                </w:p>
                <w:p w:rsidR="00A67B84" w:rsidRPr="00136E10" w:rsidRDefault="00A67B84" w:rsidP="00A67B84">
                  <w:pPr>
                    <w:spacing w:before="120" w:after="120"/>
                    <w:jc w:val="left"/>
                    <w:rPr>
                      <w:rFonts w:ascii="Arial" w:hAnsi="Arial" w:cs="Arial"/>
                      <w:b/>
                      <w:bCs/>
                      <w:sz w:val="28"/>
                      <w:lang w:val="en-US"/>
                    </w:rPr>
                  </w:pPr>
                  <w:r w:rsidRPr="00136E10">
                    <w:rPr>
                      <w:rFonts w:ascii="Arial" w:hAnsi="Arial" w:cs="Arial"/>
                      <w:b/>
                      <w:bCs/>
                      <w:sz w:val="28"/>
                      <w:lang w:val="en-US"/>
                    </w:rPr>
                    <w:t>TYPOLOGY OF CORPORATE DEVELOPMENT STRATEGIES BASED ON INTEGRATION AND DIVERSIFICATION</w:t>
                  </w:r>
                </w:p>
                <w:p w:rsidR="00A67B84" w:rsidRPr="00136E10" w:rsidRDefault="00A67B84" w:rsidP="00A67B84">
                  <w:pPr>
                    <w:spacing w:after="60"/>
                    <w:rPr>
                      <w:rFonts w:ascii="Arial" w:hAnsi="Arial" w:cs="Arial"/>
                      <w:i/>
                      <w:sz w:val="28"/>
                      <w:szCs w:val="28"/>
                      <w:lang w:val="en-US"/>
                    </w:rPr>
                  </w:pPr>
                  <w:proofErr w:type="spellStart"/>
                  <w:r w:rsidRPr="00136E10">
                    <w:rPr>
                      <w:rFonts w:ascii="Arial" w:hAnsi="Arial" w:cs="Arial"/>
                      <w:b/>
                      <w:bCs/>
                      <w:i/>
                      <w:sz w:val="24"/>
                      <w:lang w:val="en-US"/>
                    </w:rPr>
                    <w:t>I.I.</w:t>
                  </w:r>
                  <w:proofErr w:type="spellEnd"/>
                  <w:r w:rsidRPr="00136E10">
                    <w:rPr>
                      <w:rFonts w:ascii="Arial" w:hAnsi="Arial" w:cs="Arial"/>
                      <w:b/>
                      <w:bCs/>
                      <w:i/>
                      <w:sz w:val="24"/>
                      <w:lang w:val="en-US"/>
                    </w:rPr>
                    <w:t xml:space="preserve"> </w:t>
                  </w:r>
                  <w:proofErr w:type="spellStart"/>
                  <w:r w:rsidRPr="00136E10">
                    <w:rPr>
                      <w:rFonts w:ascii="Arial" w:hAnsi="Arial" w:cs="Arial"/>
                      <w:b/>
                      <w:bCs/>
                      <w:i/>
                      <w:sz w:val="24"/>
                      <w:lang w:val="en-US"/>
                    </w:rPr>
                    <w:t>Prosvirina</w:t>
                  </w:r>
                  <w:r w:rsidRPr="00136E10">
                    <w:rPr>
                      <w:rFonts w:ascii="Arial" w:hAnsi="Arial" w:cs="Arial"/>
                      <w:b/>
                      <w:bCs/>
                      <w:i/>
                      <w:sz w:val="24"/>
                      <w:vertAlign w:val="superscript"/>
                      <w:lang w:val="en-US"/>
                    </w:rPr>
                    <w:t>1</w:t>
                  </w:r>
                  <w:proofErr w:type="spellEnd"/>
                  <w:r w:rsidRPr="00136E10">
                    <w:rPr>
                      <w:rFonts w:ascii="Arial" w:hAnsi="Arial" w:cs="Arial"/>
                      <w:b/>
                      <w:bCs/>
                      <w:i/>
                      <w:sz w:val="24"/>
                      <w:lang w:val="en-US"/>
                    </w:rPr>
                    <w:t xml:space="preserve">, </w:t>
                  </w:r>
                  <w:proofErr w:type="spellStart"/>
                  <w:r w:rsidRPr="00136E10">
                    <w:rPr>
                      <w:rFonts w:ascii="Arial" w:hAnsi="Arial" w:cs="Arial"/>
                      <w:b/>
                      <w:bCs/>
                      <w:i/>
                      <w:sz w:val="24"/>
                      <w:lang w:val="en-US"/>
                    </w:rPr>
                    <w:t>A.V.</w:t>
                  </w:r>
                  <w:proofErr w:type="spellEnd"/>
                  <w:r w:rsidRPr="00136E10">
                    <w:rPr>
                      <w:rFonts w:ascii="Arial" w:hAnsi="Arial" w:cs="Arial"/>
                      <w:b/>
                      <w:bCs/>
                      <w:i/>
                      <w:sz w:val="24"/>
                      <w:lang w:val="en-US"/>
                    </w:rPr>
                    <w:t xml:space="preserve"> </w:t>
                  </w:r>
                  <w:proofErr w:type="spellStart"/>
                  <w:r w:rsidRPr="00136E10">
                    <w:rPr>
                      <w:rFonts w:ascii="Arial" w:hAnsi="Arial" w:cs="Arial"/>
                      <w:b/>
                      <w:bCs/>
                      <w:i/>
                      <w:sz w:val="24"/>
                      <w:lang w:val="en-US"/>
                    </w:rPr>
                    <w:t>Sterkhov</w:t>
                  </w:r>
                  <w:r w:rsidRPr="006C490B">
                    <w:rPr>
                      <w:rFonts w:ascii="Arial" w:hAnsi="Arial" w:cs="Arial"/>
                      <w:b/>
                      <w:bCs/>
                      <w:i/>
                      <w:sz w:val="24"/>
                      <w:vertAlign w:val="superscript"/>
                      <w:lang w:val="en-US"/>
                    </w:rPr>
                    <w:t>1</w:t>
                  </w:r>
                  <w:proofErr w:type="gramStart"/>
                  <w:r w:rsidRPr="006C490B">
                    <w:rPr>
                      <w:rFonts w:ascii="Arial" w:hAnsi="Arial" w:cs="Arial"/>
                      <w:b/>
                      <w:bCs/>
                      <w:i/>
                      <w:sz w:val="24"/>
                      <w:vertAlign w:val="superscript"/>
                      <w:lang w:val="en-US"/>
                    </w:rPr>
                    <w:t>,</w:t>
                  </w:r>
                  <w:r w:rsidRPr="00136E10">
                    <w:rPr>
                      <w:rFonts w:ascii="Arial" w:hAnsi="Arial" w:cs="Arial"/>
                      <w:b/>
                      <w:bCs/>
                      <w:i/>
                      <w:sz w:val="24"/>
                      <w:vertAlign w:val="superscript"/>
                      <w:lang w:val="en-US"/>
                    </w:rPr>
                    <w:t>2</w:t>
                  </w:r>
                  <w:proofErr w:type="spellEnd"/>
                  <w:proofErr w:type="gramEnd"/>
                  <w:r w:rsidRPr="00136E10">
                    <w:rPr>
                      <w:rFonts w:ascii="Arial" w:hAnsi="Arial" w:cs="Arial"/>
                      <w:i/>
                      <w:sz w:val="28"/>
                      <w:szCs w:val="28"/>
                      <w:lang w:val="en-US"/>
                    </w:rPr>
                    <w:t xml:space="preserve"> </w:t>
                  </w:r>
                </w:p>
                <w:p w:rsidR="00A67B84" w:rsidRPr="00136E10" w:rsidRDefault="00A67B84" w:rsidP="00A67B84">
                  <w:pPr>
                    <w:rPr>
                      <w:rFonts w:ascii="Arial" w:hAnsi="Arial" w:cs="Arial"/>
                      <w:i/>
                      <w:sz w:val="22"/>
                      <w:szCs w:val="22"/>
                      <w:lang w:val="en-US"/>
                    </w:rPr>
                  </w:pPr>
                  <w:r w:rsidRPr="00136E10">
                    <w:rPr>
                      <w:rFonts w:ascii="Arial" w:hAnsi="Arial" w:cs="Arial"/>
                      <w:i/>
                      <w:sz w:val="22"/>
                      <w:szCs w:val="22"/>
                      <w:vertAlign w:val="superscript"/>
                      <w:lang w:val="en-US"/>
                    </w:rPr>
                    <w:t xml:space="preserve">1 </w:t>
                  </w:r>
                  <w:r w:rsidRPr="00136E10">
                    <w:rPr>
                      <w:rFonts w:ascii="Arial" w:hAnsi="Arial" w:cs="Arial"/>
                      <w:i/>
                      <w:sz w:val="22"/>
                      <w:szCs w:val="22"/>
                      <w:lang w:val="en-US"/>
                    </w:rPr>
                    <w:t>South Ural State University, Chelyabinsk, Russian Federation</w:t>
                  </w:r>
                </w:p>
                <w:p w:rsidR="00A67B84" w:rsidRPr="00136E10" w:rsidRDefault="00A67B84" w:rsidP="00A67B84">
                  <w:pPr>
                    <w:jc w:val="left"/>
                    <w:rPr>
                      <w:rFonts w:ascii="Arial" w:hAnsi="Arial" w:cs="Arial"/>
                      <w:b/>
                      <w:bCs/>
                      <w:i/>
                      <w:sz w:val="22"/>
                      <w:szCs w:val="22"/>
                      <w:lang w:val="en-US"/>
                    </w:rPr>
                  </w:pPr>
                  <w:r w:rsidRPr="00136E10">
                    <w:rPr>
                      <w:rStyle w:val="jlqj4b"/>
                      <w:rFonts w:ascii="Arial" w:hAnsi="Arial" w:cs="Arial"/>
                      <w:i/>
                      <w:sz w:val="22"/>
                      <w:szCs w:val="22"/>
                      <w:vertAlign w:val="superscript"/>
                      <w:lang w:val="en-US"/>
                    </w:rPr>
                    <w:t xml:space="preserve">2 </w:t>
                  </w:r>
                  <w:r w:rsidRPr="00136E10">
                    <w:rPr>
                      <w:rStyle w:val="jlqj4b"/>
                      <w:rFonts w:ascii="Arial" w:hAnsi="Arial" w:cs="Arial"/>
                      <w:i/>
                      <w:sz w:val="22"/>
                      <w:szCs w:val="22"/>
                      <w:lang w:val="en-US"/>
                    </w:rPr>
                    <w:t xml:space="preserve">Ural Federal University named after the First President of Russia B.N. Yeltsin, </w:t>
                  </w:r>
                  <w:r w:rsidRPr="00136E10">
                    <w:rPr>
                      <w:rStyle w:val="jlqj4b"/>
                      <w:rFonts w:ascii="Arial" w:hAnsi="Arial" w:cs="Arial"/>
                      <w:i/>
                      <w:lang w:val="en-US"/>
                    </w:rPr>
                    <w:br/>
                    <w:t xml:space="preserve">  </w:t>
                  </w:r>
                  <w:r w:rsidRPr="00136E10">
                    <w:rPr>
                      <w:rStyle w:val="jlqj4b"/>
                      <w:rFonts w:ascii="Arial" w:hAnsi="Arial" w:cs="Arial"/>
                      <w:i/>
                      <w:sz w:val="22"/>
                      <w:szCs w:val="22"/>
                      <w:lang w:val="en-US"/>
                    </w:rPr>
                    <w:t xml:space="preserve">Yekaterinburg, </w:t>
                  </w:r>
                  <w:r w:rsidRPr="00136E10">
                    <w:rPr>
                      <w:rFonts w:ascii="Arial" w:hAnsi="Arial" w:cs="Arial"/>
                      <w:i/>
                      <w:sz w:val="22"/>
                      <w:szCs w:val="22"/>
                      <w:lang w:val="en-US"/>
                    </w:rPr>
                    <w:t>Russian Federation</w:t>
                  </w:r>
                </w:p>
                <w:p w:rsidR="00A67B84" w:rsidRDefault="00A67B84" w:rsidP="00A67B84">
                  <w:pPr>
                    <w:ind w:left="1134" w:firstLine="397"/>
                    <w:rPr>
                      <w:rStyle w:val="jlqj4b"/>
                      <w:sz w:val="4"/>
                      <w:lang w:val="en-US"/>
                    </w:rPr>
                  </w:pPr>
                </w:p>
                <w:p w:rsidR="00A67B84" w:rsidRDefault="00A67B84" w:rsidP="00A67B84">
                  <w:pPr>
                    <w:ind w:left="1134" w:firstLine="397"/>
                    <w:rPr>
                      <w:rStyle w:val="jlqj4b"/>
                      <w:sz w:val="4"/>
                      <w:lang w:val="en-US"/>
                    </w:rPr>
                  </w:pPr>
                </w:p>
                <w:p w:rsidR="00A67B84" w:rsidRPr="00901C15" w:rsidRDefault="00A67B84" w:rsidP="00A67B84">
                  <w:pPr>
                    <w:ind w:left="1134" w:firstLine="397"/>
                    <w:rPr>
                      <w:rStyle w:val="jlqj4b"/>
                      <w:sz w:val="4"/>
                      <w:lang w:val="en-US"/>
                    </w:rPr>
                  </w:pPr>
                </w:p>
                <w:p w:rsidR="00A67B84" w:rsidRPr="00C61960" w:rsidRDefault="00A67B84" w:rsidP="00A67B84">
                  <w:pPr>
                    <w:ind w:left="1134" w:firstLine="397"/>
                    <w:rPr>
                      <w:rStyle w:val="jlqj4b"/>
                      <w:lang w:val="en-US"/>
                    </w:rPr>
                  </w:pPr>
                </w:p>
                <w:p w:rsidR="00A67B84" w:rsidRPr="00901C15" w:rsidRDefault="00A67B84" w:rsidP="00A67B84">
                  <w:pPr>
                    <w:ind w:left="1134" w:firstLine="397"/>
                    <w:rPr>
                      <w:rStyle w:val="jlqj4b"/>
                      <w:lang w:val="en-US"/>
                    </w:rPr>
                  </w:pPr>
                  <w:r w:rsidRPr="00136E10">
                    <w:rPr>
                      <w:rStyle w:val="jlqj4b"/>
                      <w:lang w:val="en-US"/>
                    </w:rPr>
                    <w:t>The importance of making the right strategic decisions about business development has now become universal for both Russian and foreign companies. At the same time, the level of unce</w:t>
                  </w:r>
                  <w:r w:rsidRPr="00136E10">
                    <w:rPr>
                      <w:rStyle w:val="jlqj4b"/>
                      <w:lang w:val="en-US"/>
                    </w:rPr>
                    <w:t>r</w:t>
                  </w:r>
                  <w:r w:rsidRPr="00136E10">
                    <w:rPr>
                      <w:rStyle w:val="jlqj4b"/>
                      <w:lang w:val="en-US"/>
                    </w:rPr>
                    <w:t xml:space="preserve">tainty is growing in relation to the factors that determine the parameters of the directions of </w:t>
                  </w:r>
                  <w:r>
                    <w:rPr>
                      <w:rStyle w:val="jlqj4b"/>
                      <w:lang w:val="en-US"/>
                    </w:rPr>
                    <w:br/>
                  </w:r>
                </w:p>
              </w:txbxContent>
            </v:textbox>
          </v:shape>
        </w:pict>
      </w:r>
      <w:r w:rsidR="00901C15">
        <w:br w:type="column"/>
      </w:r>
    </w:p>
    <w:p w:rsidR="00136E10" w:rsidRPr="00136E10" w:rsidRDefault="00136E10" w:rsidP="00136E10">
      <w:pPr>
        <w:ind w:firstLine="397"/>
      </w:pPr>
      <w:r w:rsidRPr="00136E10">
        <w:t>5. Портер Майкл. Э. Конкуренция: пер. с англ. – М.: Издательский дом «Вильямс», 2005. – 608 с.</w:t>
      </w:r>
    </w:p>
    <w:p w:rsidR="00136E10" w:rsidRPr="00136E10" w:rsidRDefault="00136E10" w:rsidP="00136E10">
      <w:pPr>
        <w:ind w:firstLine="397"/>
      </w:pPr>
      <w:r w:rsidRPr="00136E10">
        <w:t xml:space="preserve">6. Лайм </w:t>
      </w:r>
      <w:proofErr w:type="spellStart"/>
      <w:r w:rsidRPr="00136E10">
        <w:t>Фаэй</w:t>
      </w:r>
      <w:proofErr w:type="spellEnd"/>
      <w:r w:rsidRPr="00136E10">
        <w:t xml:space="preserve">, Роберт </w:t>
      </w:r>
      <w:proofErr w:type="spellStart"/>
      <w:r w:rsidRPr="00136E10">
        <w:t>Рэнделл</w:t>
      </w:r>
      <w:proofErr w:type="spellEnd"/>
      <w:r w:rsidRPr="00136E10">
        <w:t xml:space="preserve">. Курс MBA по стратегическому менеджменту / пер. с англ. – М.: </w:t>
      </w:r>
      <w:proofErr w:type="spellStart"/>
      <w:r w:rsidRPr="00136E10">
        <w:t>Альпина</w:t>
      </w:r>
      <w:proofErr w:type="spellEnd"/>
      <w:r w:rsidRPr="00136E10">
        <w:t xml:space="preserve"> </w:t>
      </w:r>
      <w:proofErr w:type="spellStart"/>
      <w:r w:rsidRPr="00136E10">
        <w:t>Паблишер</w:t>
      </w:r>
      <w:proofErr w:type="spellEnd"/>
      <w:r w:rsidRPr="00136E10">
        <w:t>, 2002. – 608 с.</w:t>
      </w:r>
    </w:p>
    <w:p w:rsidR="00136E10" w:rsidRPr="00136E10" w:rsidRDefault="00136E10" w:rsidP="00136E10">
      <w:pPr>
        <w:ind w:firstLine="397"/>
      </w:pPr>
      <w:r w:rsidRPr="00136E10">
        <w:t xml:space="preserve">7. Ситникова Л.В. О некоторых инструментах формирования вектора развития интегрированной компании // </w:t>
      </w:r>
      <w:proofErr w:type="spellStart"/>
      <w:r w:rsidRPr="00136E10">
        <w:t>УЭкС</w:t>
      </w:r>
      <w:proofErr w:type="spellEnd"/>
      <w:r w:rsidRPr="00136E10">
        <w:t>. – 2011. – № 25. URL: https://cyberleninka.ru/article/n/o-nekotoryh-instru</w:t>
      </w:r>
      <w:r w:rsidR="00901C15">
        <w:softHyphen/>
      </w:r>
      <w:r w:rsidRPr="00136E10">
        <w:t>mentah-formirovaniya-vektora-razvitiya-integri</w:t>
      </w:r>
      <w:r w:rsidR="00901C15">
        <w:softHyphen/>
      </w:r>
      <w:r w:rsidRPr="00136E10">
        <w:t>rovannoy-kompanii (дата обращения: 11.04.2021).</w:t>
      </w:r>
    </w:p>
    <w:p w:rsidR="00136E10" w:rsidRPr="00136E10" w:rsidRDefault="00136E10" w:rsidP="00136E10">
      <w:pPr>
        <w:ind w:firstLine="397"/>
        <w:rPr>
          <w:lang w:val="en-US"/>
        </w:rPr>
      </w:pPr>
      <w:r w:rsidRPr="00136E10">
        <w:rPr>
          <w:lang w:val="en-US"/>
        </w:rPr>
        <w:t xml:space="preserve">8. Liu, </w:t>
      </w:r>
      <w:proofErr w:type="spellStart"/>
      <w:r w:rsidRPr="00136E10">
        <w:rPr>
          <w:lang w:val="en-US"/>
        </w:rPr>
        <w:t>Yipeng</w:t>
      </w:r>
      <w:proofErr w:type="spellEnd"/>
      <w:r w:rsidRPr="00136E10">
        <w:rPr>
          <w:lang w:val="en-US"/>
        </w:rPr>
        <w:t xml:space="preserve"> &amp; </w:t>
      </w:r>
      <w:proofErr w:type="spellStart"/>
      <w:r w:rsidRPr="00136E10">
        <w:rPr>
          <w:lang w:val="en-US"/>
        </w:rPr>
        <w:t>Woywode</w:t>
      </w:r>
      <w:proofErr w:type="spellEnd"/>
      <w:r w:rsidRPr="00136E10">
        <w:rPr>
          <w:lang w:val="en-US"/>
        </w:rPr>
        <w:t xml:space="preserve">, Michael. Light-Touch Integration of Chinese Cross-Border </w:t>
      </w:r>
      <w:proofErr w:type="spellStart"/>
      <w:r w:rsidRPr="00136E10">
        <w:rPr>
          <w:lang w:val="en-US"/>
        </w:rPr>
        <w:t>M&amp;A</w:t>
      </w:r>
      <w:proofErr w:type="spellEnd"/>
      <w:r w:rsidRPr="00136E10">
        <w:rPr>
          <w:lang w:val="en-US"/>
        </w:rPr>
        <w:t>: The In</w:t>
      </w:r>
      <w:r w:rsidRPr="00136E10">
        <w:t>ﬂ</w:t>
      </w:r>
      <w:proofErr w:type="spellStart"/>
      <w:r w:rsidRPr="00136E10">
        <w:rPr>
          <w:lang w:val="en-US"/>
        </w:rPr>
        <w:t>uences</w:t>
      </w:r>
      <w:proofErr w:type="spellEnd"/>
      <w:r w:rsidRPr="00136E10">
        <w:rPr>
          <w:lang w:val="en-US"/>
        </w:rPr>
        <w:t xml:space="preserve"> of Culture and Absorptive Capacity // Thunderbird International Business Review. – 2013. – V. 55. DOI: 10.1002/tie.21557.</w:t>
      </w:r>
    </w:p>
    <w:p w:rsidR="00136E10" w:rsidRPr="00136E10" w:rsidRDefault="00136E10" w:rsidP="00136E10">
      <w:pPr>
        <w:ind w:firstLine="397"/>
        <w:rPr>
          <w:lang w:val="en-US"/>
        </w:rPr>
      </w:pPr>
      <w:r w:rsidRPr="00136E10">
        <w:rPr>
          <w:lang w:val="en-US"/>
        </w:rPr>
        <w:t xml:space="preserve">9. </w:t>
      </w:r>
      <w:proofErr w:type="spellStart"/>
      <w:r w:rsidRPr="00136E10">
        <w:rPr>
          <w:lang w:val="en-US"/>
        </w:rPr>
        <w:t>Zaheer</w:t>
      </w:r>
      <w:proofErr w:type="spellEnd"/>
      <w:r w:rsidRPr="00136E10">
        <w:rPr>
          <w:lang w:val="en-US"/>
        </w:rPr>
        <w:t xml:space="preserve">, Akbar &amp; </w:t>
      </w:r>
      <w:proofErr w:type="spellStart"/>
      <w:r w:rsidRPr="00136E10">
        <w:rPr>
          <w:lang w:val="en-US"/>
        </w:rPr>
        <w:t>Castañer</w:t>
      </w:r>
      <w:proofErr w:type="spellEnd"/>
      <w:r w:rsidRPr="00136E10">
        <w:rPr>
          <w:lang w:val="en-US"/>
        </w:rPr>
        <w:t>, Xavier &amp; Souder, David. Synergy Sources, Target Autonomy, and Int</w:t>
      </w:r>
      <w:r w:rsidRPr="00136E10">
        <w:rPr>
          <w:lang w:val="en-US"/>
        </w:rPr>
        <w:t>e</w:t>
      </w:r>
      <w:r w:rsidRPr="00136E10">
        <w:rPr>
          <w:lang w:val="en-US"/>
        </w:rPr>
        <w:t>gration in Acquisitions // Journal of Management. – 2013. – V. 39. – P. 604–632. DOI: 10.1177/</w:t>
      </w:r>
      <w:r w:rsidR="00901C15" w:rsidRPr="00C61960">
        <w:rPr>
          <w:lang w:val="en-US"/>
        </w:rPr>
        <w:t xml:space="preserve"> </w:t>
      </w:r>
      <w:r w:rsidRPr="00136E10">
        <w:rPr>
          <w:lang w:val="en-US"/>
        </w:rPr>
        <w:t>0149206311403152.</w:t>
      </w:r>
    </w:p>
    <w:p w:rsidR="00136E10" w:rsidRPr="00136E10" w:rsidRDefault="00136E10" w:rsidP="00136E10">
      <w:pPr>
        <w:ind w:firstLine="397"/>
        <w:rPr>
          <w:lang w:val="en-US"/>
        </w:rPr>
      </w:pPr>
      <w:r w:rsidRPr="00136E10">
        <w:rPr>
          <w:lang w:val="en-US"/>
        </w:rPr>
        <w:t>10. Angwin Duncan &amp; Meadows Maureen. New Integration Strategies for Post-Acquisition Manag</w:t>
      </w:r>
      <w:r w:rsidRPr="00136E10">
        <w:rPr>
          <w:lang w:val="en-US"/>
        </w:rPr>
        <w:t>e</w:t>
      </w:r>
      <w:r w:rsidRPr="00136E10">
        <w:rPr>
          <w:lang w:val="en-US"/>
        </w:rPr>
        <w:t>ment // Long Range Planning. – 2014. – V. 48. DOI:  10.1016/j.lrp.2014.04.001.</w:t>
      </w:r>
    </w:p>
    <w:p w:rsidR="00136E10" w:rsidRPr="00136E10" w:rsidRDefault="00136E10" w:rsidP="00136E10">
      <w:pPr>
        <w:ind w:firstLine="397"/>
        <w:rPr>
          <w:lang w:val="en-US"/>
        </w:rPr>
      </w:pPr>
      <w:r w:rsidRPr="00136E10">
        <w:rPr>
          <w:lang w:val="en-US"/>
        </w:rPr>
        <w:t xml:space="preserve">11. </w:t>
      </w:r>
      <w:proofErr w:type="spellStart"/>
      <w:r w:rsidRPr="00136E10">
        <w:rPr>
          <w:lang w:val="en-US"/>
        </w:rPr>
        <w:t>Chakrabarti</w:t>
      </w:r>
      <w:proofErr w:type="spellEnd"/>
      <w:r w:rsidRPr="00136E10">
        <w:rPr>
          <w:lang w:val="en-US"/>
        </w:rPr>
        <w:t xml:space="preserve"> </w:t>
      </w:r>
      <w:proofErr w:type="spellStart"/>
      <w:r w:rsidRPr="00136E10">
        <w:rPr>
          <w:lang w:val="en-US"/>
        </w:rPr>
        <w:t>Abhirup</w:t>
      </w:r>
      <w:proofErr w:type="spellEnd"/>
      <w:r w:rsidRPr="00136E10">
        <w:rPr>
          <w:lang w:val="en-US"/>
        </w:rPr>
        <w:t xml:space="preserve"> &amp; Mitchell Will. The role of geographic distance in completing related a</w:t>
      </w:r>
      <w:r w:rsidRPr="00136E10">
        <w:rPr>
          <w:lang w:val="en-US"/>
        </w:rPr>
        <w:t>c</w:t>
      </w:r>
      <w:r w:rsidRPr="00136E10">
        <w:rPr>
          <w:lang w:val="en-US"/>
        </w:rPr>
        <w:t>quisitions: Evidence from U.S. chemical manufactu</w:t>
      </w:r>
      <w:r w:rsidRPr="00136E10">
        <w:rPr>
          <w:lang w:val="en-US"/>
        </w:rPr>
        <w:t>r</w:t>
      </w:r>
      <w:r w:rsidRPr="00136E10">
        <w:rPr>
          <w:lang w:val="en-US"/>
        </w:rPr>
        <w:t xml:space="preserve">ers: Geographic Distance and Acquisition Completion // Strategic Management Journal. – 2015. – V. 37. – </w:t>
      </w:r>
      <w:r w:rsidR="00901C15" w:rsidRPr="00901C15">
        <w:rPr>
          <w:lang w:val="en-US"/>
        </w:rPr>
        <w:br/>
      </w:r>
      <w:r w:rsidRPr="00136E10">
        <w:rPr>
          <w:lang w:val="en-US"/>
        </w:rPr>
        <w:t>P. 673–694. DOI: 10.1002/smj.2366.</w:t>
      </w:r>
    </w:p>
    <w:p w:rsidR="00136E10" w:rsidRPr="00136E10" w:rsidRDefault="00136E10" w:rsidP="00136E10">
      <w:pPr>
        <w:ind w:firstLine="397"/>
        <w:rPr>
          <w:lang w:val="en-US"/>
        </w:rPr>
      </w:pPr>
      <w:r w:rsidRPr="00136E10">
        <w:rPr>
          <w:lang w:val="en-US"/>
        </w:rPr>
        <w:t xml:space="preserve">12. </w:t>
      </w:r>
      <w:hyperlink r:id="rId10" w:history="1">
        <w:r w:rsidRPr="00136E10">
          <w:rPr>
            <w:rStyle w:val="afa"/>
            <w:color w:val="auto"/>
            <w:u w:val="none"/>
            <w:lang w:val="en-US"/>
          </w:rPr>
          <w:t>https://www.naics.com/naics-resources/2017-naics-changes-preview/</w:t>
        </w:r>
      </w:hyperlink>
    </w:p>
    <w:p w:rsidR="00136E10" w:rsidRPr="00136E10" w:rsidRDefault="00136E10" w:rsidP="00136E10">
      <w:pPr>
        <w:ind w:firstLine="397"/>
        <w:rPr>
          <w:rStyle w:val="afa"/>
          <w:color w:val="auto"/>
          <w:u w:val="none"/>
        </w:rPr>
      </w:pPr>
      <w:r w:rsidRPr="00136E10">
        <w:t xml:space="preserve">13. </w:t>
      </w:r>
      <w:hyperlink r:id="rId11" w:history="1">
        <w:r w:rsidRPr="00136E10">
          <w:rPr>
            <w:rStyle w:val="afa"/>
            <w:color w:val="auto"/>
            <w:u w:val="none"/>
            <w:lang w:val="en-US"/>
          </w:rPr>
          <w:t>https</w:t>
        </w:r>
        <w:r w:rsidRPr="00136E10">
          <w:rPr>
            <w:rStyle w:val="afa"/>
            <w:color w:val="auto"/>
            <w:u w:val="none"/>
          </w:rPr>
          <w:t>://</w:t>
        </w:r>
        <w:r w:rsidRPr="00136E10">
          <w:rPr>
            <w:rStyle w:val="afa"/>
            <w:color w:val="auto"/>
            <w:u w:val="none"/>
            <w:lang w:val="en-US"/>
          </w:rPr>
          <w:t>zephyr</w:t>
        </w:r>
        <w:r w:rsidRPr="00136E10">
          <w:rPr>
            <w:rStyle w:val="afa"/>
            <w:color w:val="auto"/>
            <w:u w:val="none"/>
          </w:rPr>
          <w:t>.</w:t>
        </w:r>
        <w:proofErr w:type="spellStart"/>
        <w:r w:rsidRPr="00136E10">
          <w:rPr>
            <w:rStyle w:val="afa"/>
            <w:color w:val="auto"/>
            <w:u w:val="none"/>
            <w:lang w:val="en-US"/>
          </w:rPr>
          <w:t>bvdinfo</w:t>
        </w:r>
        <w:proofErr w:type="spellEnd"/>
        <w:r w:rsidRPr="00136E10">
          <w:rPr>
            <w:rStyle w:val="afa"/>
            <w:color w:val="auto"/>
            <w:u w:val="none"/>
          </w:rPr>
          <w:t>.</w:t>
        </w:r>
        <w:r w:rsidRPr="00136E10">
          <w:rPr>
            <w:rStyle w:val="afa"/>
            <w:color w:val="auto"/>
            <w:u w:val="none"/>
            <w:lang w:val="en-US"/>
          </w:rPr>
          <w:t>com</w:t>
        </w:r>
        <w:r w:rsidRPr="00136E10">
          <w:rPr>
            <w:rStyle w:val="afa"/>
            <w:color w:val="auto"/>
            <w:u w:val="none"/>
          </w:rPr>
          <w:t>/</w:t>
        </w:r>
      </w:hyperlink>
    </w:p>
    <w:p w:rsidR="00136E10" w:rsidRPr="00136E10" w:rsidRDefault="00136E10" w:rsidP="00136E10">
      <w:pPr>
        <w:ind w:firstLine="397"/>
        <w:rPr>
          <w:rStyle w:val="afa"/>
          <w:b/>
          <w:bCs/>
          <w:color w:val="auto"/>
          <w:u w:val="none"/>
        </w:rPr>
      </w:pPr>
    </w:p>
    <w:p w:rsidR="00136E10" w:rsidRPr="00136E10" w:rsidRDefault="00136E10" w:rsidP="00136E10">
      <w:pPr>
        <w:ind w:firstLine="397"/>
        <w:rPr>
          <w:rStyle w:val="afa"/>
          <w:b/>
          <w:bCs/>
          <w:color w:val="auto"/>
          <w:u w:val="none"/>
        </w:rPr>
      </w:pPr>
    </w:p>
    <w:p w:rsidR="00901C15" w:rsidRDefault="00901C15">
      <w:pPr>
        <w:autoSpaceDE/>
        <w:autoSpaceDN/>
        <w:jc w:val="left"/>
        <w:rPr>
          <w:szCs w:val="18"/>
          <w:lang w:val="en-US"/>
        </w:rPr>
      </w:pPr>
      <w:r>
        <w:rPr>
          <w:szCs w:val="18"/>
          <w:lang w:val="en-US"/>
        </w:rPr>
        <w:br w:type="page"/>
      </w:r>
    </w:p>
    <w:p w:rsidR="00136E10" w:rsidRPr="00136E10" w:rsidRDefault="00F5713B" w:rsidP="00136E10">
      <w:pPr>
        <w:tabs>
          <w:tab w:val="left" w:pos="993"/>
        </w:tabs>
        <w:jc w:val="right"/>
        <w:rPr>
          <w:b/>
          <w:szCs w:val="18"/>
          <w:lang w:val="en-US"/>
        </w:rPr>
      </w:pPr>
      <w:r>
        <w:rPr>
          <w:b/>
          <w:noProof/>
          <w:szCs w:val="18"/>
        </w:rPr>
        <w:lastRenderedPageBreak/>
        <w:pict>
          <v:shape id="_x0000_s1419" type="#_x0000_t202" style="position:absolute;left:0;text-align:left;margin-left:-.75pt;margin-top:-1.9pt;width:464.7pt;height:685.7pt;z-index:251663360" stroked="f">
            <v:textbox>
              <w:txbxContent>
                <w:p w:rsidR="00901C15" w:rsidRPr="00136E10" w:rsidRDefault="00A67B84" w:rsidP="00901C15">
                  <w:pPr>
                    <w:ind w:left="1134"/>
                    <w:rPr>
                      <w:lang w:val="en-US"/>
                    </w:rPr>
                  </w:pPr>
                  <w:proofErr w:type="gramStart"/>
                  <w:r w:rsidRPr="00136E10">
                    <w:rPr>
                      <w:rStyle w:val="jlqj4b"/>
                      <w:lang w:val="en-US"/>
                    </w:rPr>
                    <w:t>development</w:t>
                  </w:r>
                  <w:proofErr w:type="gramEnd"/>
                  <w:r w:rsidRPr="00136E10">
                    <w:rPr>
                      <w:rStyle w:val="jlqj4b"/>
                      <w:lang w:val="en-US"/>
                    </w:rPr>
                    <w:t xml:space="preserve">. In such a situation, the role of models, with the help of which it is possible to justify </w:t>
                  </w:r>
                  <w:r w:rsidR="00901C15" w:rsidRPr="00136E10">
                    <w:rPr>
                      <w:rStyle w:val="jlqj4b"/>
                      <w:lang w:val="en-US"/>
                    </w:rPr>
                    <w:t>the choice of strategies, seriously increases. This article presents the author's typology of strat</w:t>
                  </w:r>
                  <w:r w:rsidR="00901C15" w:rsidRPr="00136E10">
                    <w:rPr>
                      <w:rStyle w:val="jlqj4b"/>
                      <w:lang w:val="en-US"/>
                    </w:rPr>
                    <w:t>e</w:t>
                  </w:r>
                  <w:r w:rsidR="00901C15" w:rsidRPr="00136E10">
                    <w:rPr>
                      <w:rStyle w:val="jlqj4b"/>
                      <w:lang w:val="en-US"/>
                    </w:rPr>
                    <w:t>gies as a basis for building such models at the next stages of the study. The empirical research base includes data on 2904 mergers and acquisitions in the electricity industry from 1999 to 2019. The author's method of typologizing integration and diversification strategies based on an analysis of the industry affiliation of companies using the NAICS 2017 index is proposed. The practical significance of the study lies in the possibility of using the type of strategy as a factor influencing the choice of corporate strategies by predicting the parameters of mergers and acquisitions.</w:t>
                  </w:r>
                </w:p>
                <w:p w:rsidR="00901C15" w:rsidRPr="00380209" w:rsidRDefault="00901C15" w:rsidP="00901C15">
                  <w:pPr>
                    <w:ind w:left="1134" w:firstLine="397"/>
                    <w:rPr>
                      <w:lang w:val="en-US"/>
                    </w:rPr>
                  </w:pPr>
                  <w:r w:rsidRPr="00136E10">
                    <w:rPr>
                      <w:b/>
                      <w:bCs/>
                      <w:lang w:val="en-US"/>
                    </w:rPr>
                    <w:t>Keywords:</w:t>
                  </w:r>
                  <w:r w:rsidRPr="00136E10">
                    <w:rPr>
                      <w:lang w:val="en-US"/>
                    </w:rPr>
                    <w:t xml:space="preserve"> corporate strategies, directions of strategic development of organizations, dive</w:t>
                  </w:r>
                  <w:r w:rsidRPr="00136E10">
                    <w:rPr>
                      <w:lang w:val="en-US"/>
                    </w:rPr>
                    <w:t>r</w:t>
                  </w:r>
                  <w:r w:rsidRPr="00136E10">
                    <w:rPr>
                      <w:lang w:val="en-US"/>
                    </w:rPr>
                    <w:t>sification and integr</w:t>
                  </w:r>
                  <w:r w:rsidR="00380209">
                    <w:rPr>
                      <w:lang w:val="en-US"/>
                    </w:rPr>
                    <w:t>ation, mergers and acquisitions</w:t>
                  </w:r>
                  <w:r w:rsidR="00380209" w:rsidRPr="00380209">
                    <w:rPr>
                      <w:lang w:val="en-US"/>
                    </w:rPr>
                    <w:t>.</w:t>
                  </w:r>
                </w:p>
                <w:p w:rsidR="00901C15" w:rsidRPr="00136E10" w:rsidRDefault="00901C15" w:rsidP="00901C15">
                  <w:pPr>
                    <w:ind w:firstLine="397"/>
                    <w:rPr>
                      <w:lang w:val="en-US"/>
                    </w:rPr>
                  </w:pPr>
                </w:p>
                <w:p w:rsidR="00901C15" w:rsidRPr="00901C15" w:rsidRDefault="00901C15" w:rsidP="00901C15">
                  <w:pPr>
                    <w:jc w:val="center"/>
                    <w:rPr>
                      <w:rStyle w:val="afa"/>
                      <w:b/>
                      <w:bCs/>
                      <w:color w:val="auto"/>
                      <w:u w:val="none"/>
                      <w:lang w:val="en-US"/>
                    </w:rPr>
                  </w:pPr>
                  <w:r w:rsidRPr="00901C15">
                    <w:rPr>
                      <w:rStyle w:val="afa"/>
                      <w:b/>
                      <w:color w:val="auto"/>
                      <w:u w:val="none"/>
                      <w:lang w:val="en-US"/>
                    </w:rPr>
                    <w:t>References</w:t>
                  </w:r>
                </w:p>
                <w:p w:rsidR="00901C15" w:rsidRPr="00901C15" w:rsidRDefault="00901C15" w:rsidP="00901C15">
                  <w:pPr>
                    <w:ind w:firstLine="397"/>
                    <w:rPr>
                      <w:rStyle w:val="jlqj4b"/>
                      <w:spacing w:val="-2"/>
                      <w:lang w:val="en-US"/>
                    </w:rPr>
                  </w:pPr>
                  <w:r w:rsidRPr="00901C15">
                    <w:rPr>
                      <w:rStyle w:val="jlqj4b"/>
                      <w:spacing w:val="-2"/>
                      <w:lang w:val="en-US"/>
                    </w:rPr>
                    <w:t xml:space="preserve">1. </w:t>
                  </w:r>
                  <w:r w:rsidRPr="00901C15">
                    <w:rPr>
                      <w:rStyle w:val="jlqj4b"/>
                      <w:i/>
                      <w:spacing w:val="-2"/>
                      <w:lang w:val="en-US"/>
                    </w:rPr>
                    <w:t>The Comprehensive Dictionary of the Contemporary Russian Language</w:t>
                  </w:r>
                  <w:r w:rsidRPr="00901C15">
                    <w:rPr>
                      <w:rStyle w:val="jlqj4b"/>
                      <w:spacing w:val="-2"/>
                      <w:lang w:val="en-US"/>
                    </w:rPr>
                    <w:t xml:space="preserve">. 2006, </w:t>
                  </w:r>
                  <w:proofErr w:type="spellStart"/>
                  <w:r w:rsidRPr="00901C15">
                    <w:rPr>
                      <w:rStyle w:val="jlqj4b"/>
                      <w:spacing w:val="-2"/>
                      <w:lang w:val="en-US"/>
                    </w:rPr>
                    <w:t>T.F.</w:t>
                  </w:r>
                  <w:proofErr w:type="spellEnd"/>
                  <w:r w:rsidRPr="00901C15">
                    <w:rPr>
                      <w:rStyle w:val="jlqj4b"/>
                      <w:spacing w:val="-2"/>
                      <w:lang w:val="en-US"/>
                    </w:rPr>
                    <w:t xml:space="preserve"> </w:t>
                  </w:r>
                  <w:proofErr w:type="spellStart"/>
                  <w:r w:rsidRPr="00901C15">
                    <w:rPr>
                      <w:rStyle w:val="jlqj4b"/>
                      <w:spacing w:val="-2"/>
                      <w:lang w:val="en-US"/>
                    </w:rPr>
                    <w:t>Yefremova</w:t>
                  </w:r>
                  <w:proofErr w:type="spellEnd"/>
                  <w:r w:rsidRPr="00901C15">
                    <w:rPr>
                      <w:rStyle w:val="jlqj4b"/>
                      <w:spacing w:val="-2"/>
                      <w:lang w:val="en-US"/>
                    </w:rPr>
                    <w:t xml:space="preserve">. 180,000 entries. </w:t>
                  </w:r>
                </w:p>
                <w:p w:rsidR="00901C15" w:rsidRPr="00901C15" w:rsidRDefault="00901C15" w:rsidP="00901C15">
                  <w:pPr>
                    <w:ind w:firstLine="397"/>
                    <w:rPr>
                      <w:rStyle w:val="jlqj4b"/>
                      <w:lang w:val="en-US"/>
                    </w:rPr>
                  </w:pPr>
                  <w:r w:rsidRPr="00901C15">
                    <w:rPr>
                      <w:rStyle w:val="jlqj4b"/>
                      <w:lang w:val="en-US"/>
                    </w:rPr>
                    <w:t xml:space="preserve">2. Grant </w:t>
                  </w:r>
                  <w:proofErr w:type="spellStart"/>
                  <w:r w:rsidRPr="00901C15">
                    <w:rPr>
                      <w:rStyle w:val="jlqj4b"/>
                      <w:lang w:val="en-US"/>
                    </w:rPr>
                    <w:t>R.M.</w:t>
                  </w:r>
                  <w:proofErr w:type="spellEnd"/>
                  <w:r w:rsidRPr="00901C15">
                    <w:rPr>
                      <w:rStyle w:val="jlqj4b"/>
                      <w:lang w:val="en-US"/>
                    </w:rPr>
                    <w:t xml:space="preserve"> </w:t>
                  </w:r>
                  <w:proofErr w:type="spellStart"/>
                  <w:r w:rsidRPr="00901C15">
                    <w:rPr>
                      <w:rStyle w:val="afa"/>
                      <w:i/>
                      <w:color w:val="auto"/>
                      <w:u w:val="none"/>
                      <w:lang w:val="en-US"/>
                    </w:rPr>
                    <w:t>Sovremennyy</w:t>
                  </w:r>
                  <w:proofErr w:type="spellEnd"/>
                  <w:r w:rsidRPr="00901C15">
                    <w:rPr>
                      <w:rStyle w:val="afa"/>
                      <w:i/>
                      <w:color w:val="auto"/>
                      <w:u w:val="none"/>
                      <w:lang w:val="en-US"/>
                    </w:rPr>
                    <w:t xml:space="preserve"> </w:t>
                  </w:r>
                  <w:proofErr w:type="spellStart"/>
                  <w:r w:rsidRPr="00901C15">
                    <w:rPr>
                      <w:rStyle w:val="afa"/>
                      <w:i/>
                      <w:color w:val="auto"/>
                      <w:u w:val="none"/>
                      <w:lang w:val="en-US"/>
                    </w:rPr>
                    <w:t>strategicheskiy</w:t>
                  </w:r>
                  <w:proofErr w:type="spellEnd"/>
                  <w:r w:rsidRPr="00901C15">
                    <w:rPr>
                      <w:rStyle w:val="afa"/>
                      <w:i/>
                      <w:color w:val="auto"/>
                      <w:u w:val="none"/>
                      <w:lang w:val="en-US"/>
                    </w:rPr>
                    <w:t xml:space="preserve"> </w:t>
                  </w:r>
                  <w:proofErr w:type="spellStart"/>
                  <w:r w:rsidRPr="00901C15">
                    <w:rPr>
                      <w:rStyle w:val="afa"/>
                      <w:i/>
                      <w:color w:val="auto"/>
                      <w:u w:val="none"/>
                      <w:lang w:val="en-US"/>
                    </w:rPr>
                    <w:t>analiz</w:t>
                  </w:r>
                  <w:proofErr w:type="spellEnd"/>
                  <w:r w:rsidRPr="00901C15">
                    <w:rPr>
                      <w:rStyle w:val="jlqj4b"/>
                      <w:lang w:val="en-US"/>
                    </w:rPr>
                    <w:t xml:space="preserve"> [Modern strategic analysis]. 5th ed. Transl. from En</w:t>
                  </w:r>
                  <w:r w:rsidRPr="00901C15">
                    <w:rPr>
                      <w:rStyle w:val="jlqj4b"/>
                      <w:lang w:val="en-US"/>
                    </w:rPr>
                    <w:t>g</w:t>
                  </w:r>
                  <w:r w:rsidRPr="00901C15">
                    <w:rPr>
                      <w:rStyle w:val="jlqj4b"/>
                      <w:lang w:val="en-US"/>
                    </w:rPr>
                    <w:t xml:space="preserve">lish. St. Petersburg, 2008. 560 p. </w:t>
                  </w:r>
                </w:p>
                <w:p w:rsidR="00901C15" w:rsidRPr="00901C15" w:rsidRDefault="00901C15" w:rsidP="00901C15">
                  <w:pPr>
                    <w:ind w:firstLine="397"/>
                    <w:rPr>
                      <w:rStyle w:val="jlqj4b"/>
                      <w:lang w:val="en-US"/>
                    </w:rPr>
                  </w:pPr>
                  <w:r w:rsidRPr="00901C15">
                    <w:rPr>
                      <w:rStyle w:val="jlqj4b"/>
                      <w:lang w:val="en-US"/>
                    </w:rPr>
                    <w:t xml:space="preserve">3. </w:t>
                  </w:r>
                  <w:proofErr w:type="spellStart"/>
                  <w:r w:rsidRPr="00901C15">
                    <w:rPr>
                      <w:rStyle w:val="jlqj4b"/>
                      <w:lang w:val="en-US"/>
                    </w:rPr>
                    <w:t>Kuzmenko</w:t>
                  </w:r>
                  <w:proofErr w:type="spellEnd"/>
                  <w:r w:rsidRPr="00901C15">
                    <w:rPr>
                      <w:rStyle w:val="jlqj4b"/>
                      <w:lang w:val="en-US"/>
                    </w:rPr>
                    <w:t xml:space="preserve"> </w:t>
                  </w:r>
                  <w:proofErr w:type="spellStart"/>
                  <w:r w:rsidRPr="00901C15">
                    <w:rPr>
                      <w:rStyle w:val="jlqj4b"/>
                      <w:lang w:val="en-US"/>
                    </w:rPr>
                    <w:t>O.V.</w:t>
                  </w:r>
                  <w:proofErr w:type="spellEnd"/>
                  <w:r w:rsidRPr="00901C15">
                    <w:rPr>
                      <w:rStyle w:val="jlqj4b"/>
                      <w:lang w:val="en-US"/>
                    </w:rPr>
                    <w:t xml:space="preserve">, </w:t>
                  </w:r>
                  <w:proofErr w:type="spellStart"/>
                  <w:r w:rsidRPr="00901C15">
                    <w:rPr>
                      <w:rStyle w:val="jlqj4b"/>
                      <w:lang w:val="en-US"/>
                    </w:rPr>
                    <w:t>Chernyshov</w:t>
                  </w:r>
                  <w:proofErr w:type="spellEnd"/>
                  <w:r w:rsidRPr="00901C15">
                    <w:rPr>
                      <w:rStyle w:val="jlqj4b"/>
                      <w:lang w:val="en-US"/>
                    </w:rPr>
                    <w:t xml:space="preserve"> D.S. The role of strategic planning in increasing the sustainability of e</w:t>
                  </w:r>
                  <w:r w:rsidRPr="00901C15">
                    <w:rPr>
                      <w:rStyle w:val="jlqj4b"/>
                      <w:lang w:val="en-US"/>
                    </w:rPr>
                    <w:t>n</w:t>
                  </w:r>
                  <w:r w:rsidRPr="00901C15">
                    <w:rPr>
                      <w:rStyle w:val="jlqj4b"/>
                      <w:lang w:val="en-US"/>
                    </w:rPr>
                    <w:t xml:space="preserve">terprise development. </w:t>
                  </w:r>
                  <w:proofErr w:type="spellStart"/>
                  <w:r w:rsidRPr="00901C15">
                    <w:rPr>
                      <w:rStyle w:val="afa"/>
                      <w:i/>
                      <w:color w:val="auto"/>
                      <w:u w:val="none"/>
                      <w:lang w:val="en-US"/>
                    </w:rPr>
                    <w:t>Kontsept</w:t>
                  </w:r>
                  <w:proofErr w:type="spellEnd"/>
                  <w:r w:rsidRPr="00901C15">
                    <w:rPr>
                      <w:rStyle w:val="jlqj4b"/>
                      <w:lang w:val="en-US"/>
                    </w:rPr>
                    <w:t xml:space="preserve"> [Concept], 2019, no. 1. (</w:t>
                  </w:r>
                  <w:proofErr w:type="gramStart"/>
                  <w:r w:rsidRPr="00901C15">
                    <w:rPr>
                      <w:rStyle w:val="jlqj4b"/>
                      <w:lang w:val="en-US"/>
                    </w:rPr>
                    <w:t>in</w:t>
                  </w:r>
                  <w:proofErr w:type="gramEnd"/>
                  <w:r w:rsidRPr="00901C15">
                    <w:rPr>
                      <w:rStyle w:val="jlqj4b"/>
                      <w:lang w:val="en-US"/>
                    </w:rPr>
                    <w:t xml:space="preserve"> Russ.) Available at: https://cyberleninka.ru/article/</w:t>
                  </w:r>
                  <w:r w:rsidR="00380209" w:rsidRPr="00380209">
                    <w:rPr>
                      <w:rStyle w:val="jlqj4b"/>
                      <w:lang w:val="en-US"/>
                    </w:rPr>
                    <w:t xml:space="preserve"> </w:t>
                  </w:r>
                  <w:r w:rsidRPr="00901C15">
                    <w:rPr>
                      <w:rStyle w:val="jlqj4b"/>
                      <w:lang w:val="en-US"/>
                    </w:rPr>
                    <w:t>n/rol-stra</w:t>
                  </w:r>
                  <w:r w:rsidR="00380209" w:rsidRPr="00380209">
                    <w:rPr>
                      <w:rStyle w:val="jlqj4b"/>
                      <w:lang w:val="en-US"/>
                    </w:rPr>
                    <w:softHyphen/>
                  </w:r>
                  <w:r w:rsidRPr="00901C15">
                    <w:rPr>
                      <w:rStyle w:val="jlqj4b"/>
                      <w:lang w:val="en-US"/>
                    </w:rPr>
                    <w:t>tegi</w:t>
                  </w:r>
                  <w:r w:rsidR="00380209" w:rsidRPr="00380209">
                    <w:rPr>
                      <w:rStyle w:val="jlqj4b"/>
                      <w:lang w:val="en-US"/>
                    </w:rPr>
                    <w:softHyphen/>
                  </w:r>
                  <w:r w:rsidRPr="00901C15">
                    <w:rPr>
                      <w:rStyle w:val="jlqj4b"/>
                      <w:lang w:val="en-US"/>
                    </w:rPr>
                    <w:t xml:space="preserve">cheskogo-planirovaniya-v-povyshenii-ustoychivosti-razvitiya-predpriyatiya (date accessed: 04/08/2021). </w:t>
                  </w:r>
                </w:p>
                <w:p w:rsidR="00901C15" w:rsidRPr="00901C15" w:rsidRDefault="00901C15" w:rsidP="00901C15">
                  <w:pPr>
                    <w:ind w:firstLine="397"/>
                    <w:rPr>
                      <w:rStyle w:val="jlqj4b"/>
                      <w:lang w:val="en-US"/>
                    </w:rPr>
                  </w:pPr>
                  <w:r w:rsidRPr="00901C15">
                    <w:rPr>
                      <w:rStyle w:val="jlqj4b"/>
                      <w:lang w:val="en-US"/>
                    </w:rPr>
                    <w:t xml:space="preserve">4. </w:t>
                  </w:r>
                  <w:proofErr w:type="spellStart"/>
                  <w:r w:rsidRPr="00901C15">
                    <w:rPr>
                      <w:rStyle w:val="jlqj4b"/>
                      <w:lang w:val="en-US"/>
                    </w:rPr>
                    <w:t>Sviridova</w:t>
                  </w:r>
                  <w:proofErr w:type="spellEnd"/>
                  <w:r w:rsidRPr="00901C15">
                    <w:rPr>
                      <w:rStyle w:val="jlqj4b"/>
                      <w:lang w:val="en-US"/>
                    </w:rPr>
                    <w:t xml:space="preserve"> </w:t>
                  </w:r>
                  <w:proofErr w:type="spellStart"/>
                  <w:r w:rsidRPr="00901C15">
                    <w:rPr>
                      <w:rStyle w:val="jlqj4b"/>
                      <w:lang w:val="en-US"/>
                    </w:rPr>
                    <w:t>S.V.</w:t>
                  </w:r>
                  <w:proofErr w:type="spellEnd"/>
                  <w:r w:rsidRPr="00901C15">
                    <w:rPr>
                      <w:rStyle w:val="jlqj4b"/>
                      <w:lang w:val="en-US"/>
                    </w:rPr>
                    <w:t xml:space="preserve">, </w:t>
                  </w:r>
                  <w:proofErr w:type="spellStart"/>
                  <w:r w:rsidRPr="00901C15">
                    <w:rPr>
                      <w:rStyle w:val="jlqj4b"/>
                      <w:lang w:val="en-US"/>
                    </w:rPr>
                    <w:t>Ilyina</w:t>
                  </w:r>
                  <w:proofErr w:type="spellEnd"/>
                  <w:r w:rsidRPr="00901C15">
                    <w:rPr>
                      <w:rStyle w:val="jlqj4b"/>
                      <w:lang w:val="en-US"/>
                    </w:rPr>
                    <w:t xml:space="preserve"> </w:t>
                  </w:r>
                  <w:proofErr w:type="spellStart"/>
                  <w:r w:rsidRPr="00901C15">
                    <w:rPr>
                      <w:rStyle w:val="jlqj4b"/>
                      <w:lang w:val="en-US"/>
                    </w:rPr>
                    <w:t>E.A.</w:t>
                  </w:r>
                  <w:proofErr w:type="spellEnd"/>
                  <w:r w:rsidRPr="00901C15">
                    <w:rPr>
                      <w:rStyle w:val="jlqj4b"/>
                      <w:lang w:val="en-US"/>
                    </w:rPr>
                    <w:t xml:space="preserve"> Approaches to the development and implementation of the development strategy of industrial enterprises. </w:t>
                  </w:r>
                  <w:r w:rsidRPr="00901C15">
                    <w:rPr>
                      <w:rStyle w:val="jlqj4b"/>
                      <w:i/>
                      <w:lang w:val="en-US"/>
                    </w:rPr>
                    <w:t>ECONOMINFO</w:t>
                  </w:r>
                  <w:r w:rsidRPr="00901C15">
                    <w:rPr>
                      <w:rStyle w:val="jlqj4b"/>
                      <w:lang w:val="en-US"/>
                    </w:rPr>
                    <w:t>, 2019, no. 2-3. (</w:t>
                  </w:r>
                  <w:proofErr w:type="gramStart"/>
                  <w:r w:rsidRPr="00901C15">
                    <w:rPr>
                      <w:rStyle w:val="jlqj4b"/>
                      <w:lang w:val="en-US"/>
                    </w:rPr>
                    <w:t>in</w:t>
                  </w:r>
                  <w:proofErr w:type="gramEnd"/>
                  <w:r w:rsidRPr="00901C15">
                    <w:rPr>
                      <w:rStyle w:val="jlqj4b"/>
                      <w:lang w:val="en-US"/>
                    </w:rPr>
                    <w:t xml:space="preserve"> Russ.) Available at:  https://cyberlenin</w:t>
                  </w:r>
                  <w:r w:rsidR="00380209" w:rsidRPr="00BC27B3">
                    <w:rPr>
                      <w:rStyle w:val="jlqj4b"/>
                      <w:lang w:val="en-US"/>
                    </w:rPr>
                    <w:softHyphen/>
                  </w:r>
                  <w:r w:rsidRPr="00901C15">
                    <w:rPr>
                      <w:rStyle w:val="jlqj4b"/>
                      <w:lang w:val="en-US"/>
                    </w:rPr>
                    <w:t>ka.ru/article/n/podhody-k-razrabotke-i-realizatsii-strategii-razvitiya-promyshlennyh-predpriyatiy (date of a</w:t>
                  </w:r>
                  <w:r w:rsidRPr="00901C15">
                    <w:rPr>
                      <w:rStyle w:val="jlqj4b"/>
                      <w:lang w:val="en-US"/>
                    </w:rPr>
                    <w:t>c</w:t>
                  </w:r>
                  <w:r w:rsidRPr="00901C15">
                    <w:rPr>
                      <w:rStyle w:val="jlqj4b"/>
                      <w:lang w:val="en-US"/>
                    </w:rPr>
                    <w:t xml:space="preserve">cess: 04/11/2021). </w:t>
                  </w:r>
                </w:p>
                <w:p w:rsidR="00901C15" w:rsidRPr="00901C15" w:rsidRDefault="00901C15" w:rsidP="00901C15">
                  <w:pPr>
                    <w:ind w:firstLine="397"/>
                    <w:rPr>
                      <w:rStyle w:val="jlqj4b"/>
                      <w:lang w:val="en-US"/>
                    </w:rPr>
                  </w:pPr>
                  <w:r w:rsidRPr="00901C15">
                    <w:rPr>
                      <w:rStyle w:val="jlqj4b"/>
                      <w:lang w:val="de-DE"/>
                    </w:rPr>
                    <w:t xml:space="preserve">5. Porter Michael E. </w:t>
                  </w:r>
                  <w:proofErr w:type="spellStart"/>
                  <w:r w:rsidRPr="00901C15">
                    <w:rPr>
                      <w:rStyle w:val="afa"/>
                      <w:i/>
                      <w:color w:val="auto"/>
                      <w:u w:val="none"/>
                      <w:lang w:val="de-DE"/>
                    </w:rPr>
                    <w:t>Konkurentsiya</w:t>
                  </w:r>
                  <w:proofErr w:type="spellEnd"/>
                  <w:r w:rsidRPr="00901C15">
                    <w:rPr>
                      <w:rStyle w:val="jlqj4b"/>
                      <w:lang w:val="de-DE"/>
                    </w:rPr>
                    <w:t xml:space="preserve"> [</w:t>
                  </w:r>
                  <w:proofErr w:type="spellStart"/>
                  <w:r w:rsidRPr="00901C15">
                    <w:rPr>
                      <w:rStyle w:val="jlqj4b"/>
                      <w:lang w:val="de-DE"/>
                    </w:rPr>
                    <w:t>Competition</w:t>
                  </w:r>
                  <w:proofErr w:type="spellEnd"/>
                  <w:r w:rsidRPr="00901C15">
                    <w:rPr>
                      <w:rStyle w:val="jlqj4b"/>
                      <w:lang w:val="de-DE"/>
                    </w:rPr>
                    <w:t xml:space="preserve">]. </w:t>
                  </w:r>
                  <w:r w:rsidRPr="00901C15">
                    <w:rPr>
                      <w:rStyle w:val="jlqj4b"/>
                      <w:lang w:val="en-US"/>
                    </w:rPr>
                    <w:t xml:space="preserve">Transl. from English. </w:t>
                  </w:r>
                  <w:r w:rsidRPr="00901C15">
                    <w:rPr>
                      <w:lang w:val="en-US"/>
                    </w:rPr>
                    <w:t>Moscow</w:t>
                  </w:r>
                  <w:r w:rsidRPr="00901C15">
                    <w:rPr>
                      <w:rStyle w:val="jlqj4b"/>
                      <w:lang w:val="en-US"/>
                    </w:rPr>
                    <w:t xml:space="preserve">, 2005. 608 p. </w:t>
                  </w:r>
                </w:p>
                <w:p w:rsidR="00901C15" w:rsidRPr="00901C15" w:rsidRDefault="00901C15" w:rsidP="00901C15">
                  <w:pPr>
                    <w:ind w:firstLine="397"/>
                    <w:rPr>
                      <w:rStyle w:val="jlqj4b"/>
                      <w:lang w:val="en-US"/>
                    </w:rPr>
                  </w:pPr>
                  <w:r w:rsidRPr="00901C15">
                    <w:rPr>
                      <w:rStyle w:val="jlqj4b"/>
                      <w:lang w:val="en-US"/>
                    </w:rPr>
                    <w:t xml:space="preserve">6. Lime Fae, Robert Randall (ed.) </w:t>
                  </w:r>
                  <w:proofErr w:type="spellStart"/>
                  <w:r w:rsidRPr="00901C15">
                    <w:rPr>
                      <w:rStyle w:val="afa"/>
                      <w:i/>
                      <w:color w:val="auto"/>
                      <w:u w:val="none"/>
                      <w:lang w:val="en-US"/>
                    </w:rPr>
                    <w:t>Kurs</w:t>
                  </w:r>
                  <w:proofErr w:type="spellEnd"/>
                  <w:r w:rsidRPr="00901C15">
                    <w:rPr>
                      <w:rStyle w:val="afa"/>
                      <w:i/>
                      <w:color w:val="auto"/>
                      <w:u w:val="none"/>
                      <w:lang w:val="en-US"/>
                    </w:rPr>
                    <w:t xml:space="preserve"> MBA </w:t>
                  </w:r>
                  <w:proofErr w:type="spellStart"/>
                  <w:r w:rsidRPr="00901C15">
                    <w:rPr>
                      <w:rStyle w:val="afa"/>
                      <w:i/>
                      <w:color w:val="auto"/>
                      <w:u w:val="none"/>
                      <w:lang w:val="en-US"/>
                    </w:rPr>
                    <w:t>po</w:t>
                  </w:r>
                  <w:proofErr w:type="spellEnd"/>
                  <w:r w:rsidRPr="00901C15">
                    <w:rPr>
                      <w:rStyle w:val="afa"/>
                      <w:i/>
                      <w:color w:val="auto"/>
                      <w:u w:val="none"/>
                      <w:lang w:val="en-US"/>
                    </w:rPr>
                    <w:t xml:space="preserve"> </w:t>
                  </w:r>
                  <w:proofErr w:type="spellStart"/>
                  <w:r w:rsidRPr="00901C15">
                    <w:rPr>
                      <w:rStyle w:val="afa"/>
                      <w:i/>
                      <w:color w:val="auto"/>
                      <w:u w:val="none"/>
                      <w:lang w:val="en-US"/>
                    </w:rPr>
                    <w:t>strategicheskomu</w:t>
                  </w:r>
                  <w:proofErr w:type="spellEnd"/>
                  <w:r w:rsidRPr="00901C15">
                    <w:rPr>
                      <w:rStyle w:val="afa"/>
                      <w:i/>
                      <w:color w:val="auto"/>
                      <w:u w:val="none"/>
                      <w:lang w:val="en-US"/>
                    </w:rPr>
                    <w:t xml:space="preserve"> </w:t>
                  </w:r>
                  <w:proofErr w:type="spellStart"/>
                  <w:r w:rsidRPr="00901C15">
                    <w:rPr>
                      <w:rStyle w:val="afa"/>
                      <w:i/>
                      <w:color w:val="auto"/>
                      <w:u w:val="none"/>
                      <w:lang w:val="en-US"/>
                    </w:rPr>
                    <w:t>menedzhmentu</w:t>
                  </w:r>
                  <w:proofErr w:type="spellEnd"/>
                  <w:r w:rsidRPr="00901C15">
                    <w:rPr>
                      <w:rStyle w:val="afa"/>
                      <w:color w:val="auto"/>
                      <w:u w:val="none"/>
                      <w:lang w:val="en-US"/>
                    </w:rPr>
                    <w:t xml:space="preserve"> [</w:t>
                  </w:r>
                  <w:r w:rsidRPr="00901C15">
                    <w:rPr>
                      <w:rStyle w:val="jlqj4b"/>
                      <w:lang w:val="en-US"/>
                    </w:rPr>
                    <w:t>MBA Course in Strat</w:t>
                  </w:r>
                  <w:r w:rsidRPr="00901C15">
                    <w:rPr>
                      <w:rStyle w:val="jlqj4b"/>
                      <w:lang w:val="en-US"/>
                    </w:rPr>
                    <w:t>e</w:t>
                  </w:r>
                  <w:r w:rsidRPr="00901C15">
                    <w:rPr>
                      <w:rStyle w:val="jlqj4b"/>
                      <w:lang w:val="en-US"/>
                    </w:rPr>
                    <w:t xml:space="preserve">gic Management]. Transl. from English. </w:t>
                  </w:r>
                  <w:r w:rsidRPr="00901C15">
                    <w:rPr>
                      <w:lang w:val="en-US"/>
                    </w:rPr>
                    <w:t>Moscow</w:t>
                  </w:r>
                  <w:r w:rsidRPr="00901C15">
                    <w:rPr>
                      <w:rStyle w:val="jlqj4b"/>
                      <w:lang w:val="en-US"/>
                    </w:rPr>
                    <w:t xml:space="preserve">, 2002. 608 p. </w:t>
                  </w:r>
                </w:p>
                <w:p w:rsidR="00901C15" w:rsidRPr="00901C15" w:rsidRDefault="00901C15" w:rsidP="00901C15">
                  <w:pPr>
                    <w:ind w:firstLine="397"/>
                    <w:rPr>
                      <w:rStyle w:val="jlqj4b"/>
                      <w:lang w:val="en-US"/>
                    </w:rPr>
                  </w:pPr>
                  <w:r w:rsidRPr="00901C15">
                    <w:rPr>
                      <w:rStyle w:val="jlqj4b"/>
                      <w:lang w:val="en-US"/>
                    </w:rPr>
                    <w:t xml:space="preserve">7. </w:t>
                  </w:r>
                  <w:proofErr w:type="spellStart"/>
                  <w:r w:rsidRPr="00901C15">
                    <w:rPr>
                      <w:rStyle w:val="jlqj4b"/>
                      <w:lang w:val="en-US"/>
                    </w:rPr>
                    <w:t>Sitnikova</w:t>
                  </w:r>
                  <w:proofErr w:type="spellEnd"/>
                  <w:r w:rsidRPr="00901C15">
                    <w:rPr>
                      <w:rStyle w:val="jlqj4b"/>
                      <w:lang w:val="en-US"/>
                    </w:rPr>
                    <w:t xml:space="preserve"> </w:t>
                  </w:r>
                  <w:proofErr w:type="spellStart"/>
                  <w:r w:rsidRPr="00901C15">
                    <w:rPr>
                      <w:rStyle w:val="jlqj4b"/>
                      <w:lang w:val="en-US"/>
                    </w:rPr>
                    <w:t>L.V.</w:t>
                  </w:r>
                  <w:proofErr w:type="spellEnd"/>
                  <w:r w:rsidRPr="00901C15">
                    <w:rPr>
                      <w:rStyle w:val="jlqj4b"/>
                      <w:lang w:val="en-US"/>
                    </w:rPr>
                    <w:t xml:space="preserve"> On some tools for forming the vector of development of an integrated company. </w:t>
                  </w:r>
                  <w:proofErr w:type="spellStart"/>
                  <w:r w:rsidRPr="00901C15">
                    <w:rPr>
                      <w:rStyle w:val="jlqj4b"/>
                      <w:i/>
                      <w:lang w:val="en-US"/>
                    </w:rPr>
                    <w:t>UEkS</w:t>
                  </w:r>
                  <w:proofErr w:type="spellEnd"/>
                  <w:r w:rsidRPr="00901C15">
                    <w:rPr>
                      <w:rStyle w:val="jlqj4b"/>
                      <w:lang w:val="en-US"/>
                    </w:rPr>
                    <w:t>, 2011, no. 25. (</w:t>
                  </w:r>
                  <w:proofErr w:type="gramStart"/>
                  <w:r w:rsidRPr="00901C15">
                    <w:rPr>
                      <w:rStyle w:val="jlqj4b"/>
                      <w:lang w:val="en-US"/>
                    </w:rPr>
                    <w:t>in</w:t>
                  </w:r>
                  <w:proofErr w:type="gramEnd"/>
                  <w:r w:rsidRPr="00901C15">
                    <w:rPr>
                      <w:rStyle w:val="jlqj4b"/>
                      <w:lang w:val="en-US"/>
                    </w:rPr>
                    <w:t xml:space="preserve"> Russ.) Available at: https://cyberleninka.ru/article/n/o-nekotoryh-instrumentah-formirovaniya-vektora-razvitiya-integrirovannoy-kompanii (date of access: 04/11/2021). </w:t>
                  </w:r>
                </w:p>
                <w:p w:rsidR="00901C15" w:rsidRPr="00901C15" w:rsidRDefault="00901C15" w:rsidP="00901C15">
                  <w:pPr>
                    <w:ind w:firstLine="397"/>
                    <w:rPr>
                      <w:rStyle w:val="jlqj4b"/>
                      <w:lang w:val="en-US"/>
                    </w:rPr>
                  </w:pPr>
                  <w:r w:rsidRPr="00901C15">
                    <w:rPr>
                      <w:rStyle w:val="jlqj4b"/>
                      <w:lang w:val="en-US"/>
                    </w:rPr>
                    <w:t xml:space="preserve">8. Liu </w:t>
                  </w:r>
                  <w:proofErr w:type="spellStart"/>
                  <w:r w:rsidRPr="00901C15">
                    <w:rPr>
                      <w:rStyle w:val="jlqj4b"/>
                      <w:lang w:val="en-US"/>
                    </w:rPr>
                    <w:t>Yipeng</w:t>
                  </w:r>
                  <w:proofErr w:type="spellEnd"/>
                  <w:r w:rsidRPr="00901C15">
                    <w:rPr>
                      <w:rStyle w:val="jlqj4b"/>
                      <w:lang w:val="en-US"/>
                    </w:rPr>
                    <w:t xml:space="preserve"> &amp; </w:t>
                  </w:r>
                  <w:proofErr w:type="spellStart"/>
                  <w:r w:rsidRPr="00901C15">
                    <w:rPr>
                      <w:rStyle w:val="jlqj4b"/>
                      <w:lang w:val="en-US"/>
                    </w:rPr>
                    <w:t>Woywode</w:t>
                  </w:r>
                  <w:proofErr w:type="spellEnd"/>
                  <w:r w:rsidRPr="00901C15">
                    <w:rPr>
                      <w:rStyle w:val="jlqj4b"/>
                      <w:lang w:val="en-US"/>
                    </w:rPr>
                    <w:t xml:space="preserve"> Michael. Light-Touch Integration of Chinese Cross-Border </w:t>
                  </w:r>
                  <w:proofErr w:type="spellStart"/>
                  <w:r w:rsidRPr="00901C15">
                    <w:rPr>
                      <w:rStyle w:val="jlqj4b"/>
                      <w:lang w:val="en-US"/>
                    </w:rPr>
                    <w:t>M&amp;A</w:t>
                  </w:r>
                  <w:proofErr w:type="spellEnd"/>
                  <w:r w:rsidRPr="00901C15">
                    <w:rPr>
                      <w:rStyle w:val="jlqj4b"/>
                      <w:lang w:val="en-US"/>
                    </w:rPr>
                    <w:t>: The In</w:t>
                  </w:r>
                  <w:r w:rsidRPr="00901C15">
                    <w:rPr>
                      <w:rStyle w:val="jlqj4b"/>
                    </w:rPr>
                    <w:t>ﬂ</w:t>
                  </w:r>
                  <w:proofErr w:type="spellStart"/>
                  <w:r w:rsidRPr="00901C15">
                    <w:rPr>
                      <w:rStyle w:val="jlqj4b"/>
                      <w:lang w:val="en-US"/>
                    </w:rPr>
                    <w:t>uences</w:t>
                  </w:r>
                  <w:proofErr w:type="spellEnd"/>
                  <w:r w:rsidRPr="00901C15">
                    <w:rPr>
                      <w:rStyle w:val="jlqj4b"/>
                      <w:lang w:val="en-US"/>
                    </w:rPr>
                    <w:t xml:space="preserve"> of Culture and Absorptive Capacity. </w:t>
                  </w:r>
                  <w:r w:rsidRPr="00901C15">
                    <w:rPr>
                      <w:rStyle w:val="jlqj4b"/>
                      <w:i/>
                      <w:lang w:val="en-US"/>
                    </w:rPr>
                    <w:t>Thunderbird International Business Review</w:t>
                  </w:r>
                  <w:r w:rsidRPr="00901C15">
                    <w:rPr>
                      <w:rStyle w:val="jlqj4b"/>
                      <w:lang w:val="en-US"/>
                    </w:rPr>
                    <w:t xml:space="preserve">, 2013, vol. 55. DOI: 10.1002/tie.21557. </w:t>
                  </w:r>
                </w:p>
                <w:p w:rsidR="00901C15" w:rsidRPr="00901C15" w:rsidRDefault="00901C15" w:rsidP="00901C15">
                  <w:pPr>
                    <w:ind w:firstLine="397"/>
                    <w:rPr>
                      <w:rStyle w:val="jlqj4b"/>
                      <w:lang w:val="en-US"/>
                    </w:rPr>
                  </w:pPr>
                  <w:r w:rsidRPr="00BC27B3">
                    <w:rPr>
                      <w:rStyle w:val="jlqj4b"/>
                      <w:lang w:val="en-US"/>
                    </w:rPr>
                    <w:t xml:space="preserve">9. Zaheer Akbar &amp; Castañer Xavier &amp; Souder, David. </w:t>
                  </w:r>
                  <w:r w:rsidRPr="00901C15">
                    <w:rPr>
                      <w:rStyle w:val="jlqj4b"/>
                      <w:lang w:val="en-US"/>
                    </w:rPr>
                    <w:t xml:space="preserve">Synergy Sources, Target Autonomy, and Integration in Acquisitions. </w:t>
                  </w:r>
                  <w:r w:rsidRPr="00901C15">
                    <w:rPr>
                      <w:rStyle w:val="jlqj4b"/>
                      <w:i/>
                      <w:lang w:val="en-US"/>
                    </w:rPr>
                    <w:t>Journal of Management</w:t>
                  </w:r>
                  <w:r w:rsidRPr="00901C15">
                    <w:rPr>
                      <w:rStyle w:val="jlqj4b"/>
                      <w:lang w:val="en-US"/>
                    </w:rPr>
                    <w:t xml:space="preserve">, 2013, vol. 39, pp. 604–632. DOI: 10.1177/0149206311403152. </w:t>
                  </w:r>
                </w:p>
                <w:p w:rsidR="00901C15" w:rsidRPr="00901C15" w:rsidRDefault="00901C15" w:rsidP="00901C15">
                  <w:pPr>
                    <w:ind w:firstLine="397"/>
                    <w:rPr>
                      <w:rStyle w:val="jlqj4b"/>
                      <w:lang w:val="en-US"/>
                    </w:rPr>
                  </w:pPr>
                  <w:r w:rsidRPr="00901C15">
                    <w:rPr>
                      <w:rStyle w:val="jlqj4b"/>
                      <w:lang w:val="en-US"/>
                    </w:rPr>
                    <w:t xml:space="preserve">10. Angwin Duncan &amp; Meadows Maureen. New Integration Strategies for Post-Acquisition Management. </w:t>
                  </w:r>
                  <w:r w:rsidRPr="00901C15">
                    <w:rPr>
                      <w:rStyle w:val="jlqj4b"/>
                      <w:i/>
                      <w:lang w:val="en-US"/>
                    </w:rPr>
                    <w:t>Long Range Planning</w:t>
                  </w:r>
                  <w:r w:rsidRPr="00901C15">
                    <w:rPr>
                      <w:rStyle w:val="jlqj4b"/>
                      <w:lang w:val="en-US"/>
                    </w:rPr>
                    <w:t xml:space="preserve">, 2014, vol. 48. DOI: 10.1016/j.lrp.2014.04.001. </w:t>
                  </w:r>
                </w:p>
                <w:p w:rsidR="00901C15" w:rsidRPr="00901C15" w:rsidRDefault="00901C15" w:rsidP="00901C15">
                  <w:pPr>
                    <w:ind w:firstLine="397"/>
                    <w:rPr>
                      <w:rStyle w:val="jlqj4b"/>
                      <w:lang w:val="en-US"/>
                    </w:rPr>
                  </w:pPr>
                  <w:r w:rsidRPr="00901C15">
                    <w:rPr>
                      <w:rStyle w:val="jlqj4b"/>
                      <w:lang w:val="en-US"/>
                    </w:rPr>
                    <w:t xml:space="preserve">11. </w:t>
                  </w:r>
                  <w:proofErr w:type="spellStart"/>
                  <w:r w:rsidRPr="00901C15">
                    <w:rPr>
                      <w:rStyle w:val="jlqj4b"/>
                      <w:lang w:val="en-US"/>
                    </w:rPr>
                    <w:t>Chakrabarti</w:t>
                  </w:r>
                  <w:proofErr w:type="spellEnd"/>
                  <w:r w:rsidRPr="00901C15">
                    <w:rPr>
                      <w:rStyle w:val="jlqj4b"/>
                      <w:lang w:val="en-US"/>
                    </w:rPr>
                    <w:t xml:space="preserve"> </w:t>
                  </w:r>
                  <w:proofErr w:type="spellStart"/>
                  <w:r w:rsidRPr="00901C15">
                    <w:rPr>
                      <w:rStyle w:val="jlqj4b"/>
                      <w:lang w:val="en-US"/>
                    </w:rPr>
                    <w:t>Abhirup</w:t>
                  </w:r>
                  <w:proofErr w:type="spellEnd"/>
                  <w:r w:rsidRPr="00901C15">
                    <w:rPr>
                      <w:rStyle w:val="jlqj4b"/>
                      <w:lang w:val="en-US"/>
                    </w:rPr>
                    <w:t xml:space="preserve"> &amp; Mitchell Will. (2015). The role of </w:t>
                  </w:r>
                  <w:proofErr w:type="spellStart"/>
                  <w:r w:rsidRPr="00901C15">
                    <w:rPr>
                      <w:rStyle w:val="jlqj4b"/>
                      <w:lang w:val="en-US"/>
                    </w:rPr>
                    <w:t>geograph-ic</w:t>
                  </w:r>
                  <w:proofErr w:type="spellEnd"/>
                  <w:r w:rsidRPr="00901C15">
                    <w:rPr>
                      <w:rStyle w:val="jlqj4b"/>
                      <w:lang w:val="en-US"/>
                    </w:rPr>
                    <w:t xml:space="preserve"> distance in completing related acquisitions: Evidence from U.S. chemical manufacturers: Geographic Distance and Acquisition Completion. </w:t>
                  </w:r>
                  <w:r w:rsidRPr="00901C15">
                    <w:rPr>
                      <w:rStyle w:val="jlqj4b"/>
                      <w:i/>
                      <w:lang w:val="en-US"/>
                    </w:rPr>
                    <w:t>Strategic Management Journal</w:t>
                  </w:r>
                  <w:r w:rsidRPr="00901C15">
                    <w:rPr>
                      <w:rStyle w:val="jlqj4b"/>
                      <w:lang w:val="en-US"/>
                    </w:rPr>
                    <w:t xml:space="preserve">, 2015, vol.  37, pp673–694. DOI: 10.1002/smj.2366. </w:t>
                  </w:r>
                </w:p>
                <w:p w:rsidR="00901C15" w:rsidRPr="00901C15" w:rsidRDefault="00901C15" w:rsidP="00901C15">
                  <w:pPr>
                    <w:ind w:firstLine="397"/>
                    <w:rPr>
                      <w:rStyle w:val="jlqj4b"/>
                      <w:lang w:val="en-US"/>
                    </w:rPr>
                  </w:pPr>
                  <w:r w:rsidRPr="00901C15">
                    <w:rPr>
                      <w:rStyle w:val="jlqj4b"/>
                      <w:lang w:val="en-US"/>
                    </w:rPr>
                    <w:t xml:space="preserve">12. Available at:  https: //www.naics.com/naics-resources/2017-naics-changes-preview/ </w:t>
                  </w:r>
                </w:p>
                <w:p w:rsidR="00901C15" w:rsidRPr="00DE62AF" w:rsidRDefault="00901C15" w:rsidP="00901C15">
                  <w:pPr>
                    <w:ind w:firstLine="397"/>
                    <w:rPr>
                      <w:rStyle w:val="jlqj4b"/>
                      <w:lang w:val="en-US"/>
                    </w:rPr>
                  </w:pPr>
                  <w:r w:rsidRPr="00901C15">
                    <w:rPr>
                      <w:rStyle w:val="jlqj4b"/>
                      <w:lang w:val="en-US"/>
                    </w:rPr>
                    <w:t>13. Available at:  https: //zephyr.bvdinfo.com/</w:t>
                  </w:r>
                </w:p>
                <w:p w:rsidR="00C61960" w:rsidRPr="00A67B84" w:rsidRDefault="00C61960" w:rsidP="00901C15">
                  <w:pPr>
                    <w:ind w:firstLine="397"/>
                    <w:rPr>
                      <w:rStyle w:val="jlqj4b"/>
                      <w:sz w:val="28"/>
                      <w:lang w:val="en-US"/>
                    </w:rPr>
                  </w:pPr>
                </w:p>
                <w:p w:rsidR="00901C15" w:rsidRPr="00136E10" w:rsidRDefault="00901C15" w:rsidP="00901C15">
                  <w:pPr>
                    <w:spacing w:after="60"/>
                    <w:ind w:firstLine="397"/>
                    <w:rPr>
                      <w:rStyle w:val="jlqj4b"/>
                      <w:lang w:val="en-US"/>
                    </w:rPr>
                  </w:pPr>
                  <w:r w:rsidRPr="00136E10">
                    <w:rPr>
                      <w:rStyle w:val="jlqj4b"/>
                      <w:b/>
                      <w:lang w:val="en-US"/>
                    </w:rPr>
                    <w:t xml:space="preserve">Irina I. </w:t>
                  </w:r>
                  <w:proofErr w:type="spellStart"/>
                  <w:r w:rsidRPr="00136E10">
                    <w:rPr>
                      <w:rStyle w:val="jlqj4b"/>
                      <w:b/>
                      <w:lang w:val="en-US"/>
                    </w:rPr>
                    <w:t>Prosvirina</w:t>
                  </w:r>
                  <w:proofErr w:type="spellEnd"/>
                  <w:r w:rsidRPr="00136E10">
                    <w:rPr>
                      <w:rStyle w:val="jlqj4b"/>
                      <w:lang w:val="en-US"/>
                    </w:rPr>
                    <w:t>, Doctor of Sciences (Economics), Professor of the Department of Economics and F</w:t>
                  </w:r>
                  <w:r w:rsidRPr="00136E10">
                    <w:rPr>
                      <w:rStyle w:val="jlqj4b"/>
                      <w:lang w:val="en-US"/>
                    </w:rPr>
                    <w:t>i</w:t>
                  </w:r>
                  <w:r w:rsidRPr="00136E10">
                    <w:rPr>
                      <w:rStyle w:val="jlqj4b"/>
                      <w:lang w:val="en-US"/>
                    </w:rPr>
                    <w:t>nance, South Ural State University, Chelyabinsk, iprosvirina@mail.ru</w:t>
                  </w:r>
                </w:p>
                <w:p w:rsidR="00901C15" w:rsidRPr="00136E10" w:rsidRDefault="00901C15" w:rsidP="006C490B">
                  <w:pPr>
                    <w:ind w:firstLine="397"/>
                    <w:rPr>
                      <w:rStyle w:val="jlqj4b"/>
                      <w:lang w:val="en-US"/>
                    </w:rPr>
                  </w:pPr>
                  <w:r w:rsidRPr="006C490B">
                    <w:rPr>
                      <w:rStyle w:val="jlqj4b"/>
                      <w:b/>
                      <w:lang w:val="en-US"/>
                    </w:rPr>
                    <w:t xml:space="preserve">Alexander V. </w:t>
                  </w:r>
                  <w:proofErr w:type="spellStart"/>
                  <w:r w:rsidRPr="006C490B">
                    <w:rPr>
                      <w:rStyle w:val="jlqj4b"/>
                      <w:b/>
                      <w:lang w:val="en-US"/>
                    </w:rPr>
                    <w:t>Sterkhov</w:t>
                  </w:r>
                  <w:proofErr w:type="spellEnd"/>
                  <w:r w:rsidRPr="00136E10">
                    <w:rPr>
                      <w:rStyle w:val="jlqj4b"/>
                      <w:lang w:val="en-US"/>
                    </w:rPr>
                    <w:t xml:space="preserve">, </w:t>
                  </w:r>
                  <w:r w:rsidR="006C490B" w:rsidRPr="006C490B">
                    <w:rPr>
                      <w:rStyle w:val="jlqj4b"/>
                      <w:lang w:val="en-US"/>
                    </w:rPr>
                    <w:t>postgraduate</w:t>
                  </w:r>
                  <w:r w:rsidR="006C490B" w:rsidRPr="00A67B84">
                    <w:rPr>
                      <w:rStyle w:val="jlqj4b"/>
                      <w:lang w:val="en-US"/>
                    </w:rPr>
                    <w:t xml:space="preserve">, </w:t>
                  </w:r>
                  <w:r w:rsidR="006C490B" w:rsidRPr="00136E10">
                    <w:rPr>
                      <w:rStyle w:val="jlqj4b"/>
                      <w:lang w:val="en-US"/>
                    </w:rPr>
                    <w:t xml:space="preserve"> South Ural State University, Chelyabinsk</w:t>
                  </w:r>
                  <w:r w:rsidR="006C490B" w:rsidRPr="006C490B">
                    <w:rPr>
                      <w:rStyle w:val="jlqj4b"/>
                      <w:lang w:val="en-US"/>
                    </w:rPr>
                    <w:t xml:space="preserve">; </w:t>
                  </w:r>
                  <w:r w:rsidRPr="00136E10">
                    <w:rPr>
                      <w:rStyle w:val="jlqj4b"/>
                      <w:lang w:val="en-US"/>
                    </w:rPr>
                    <w:t xml:space="preserve">senior lecturer, Ural Federal University named after the First President of Russia </w:t>
                  </w:r>
                  <w:proofErr w:type="spellStart"/>
                  <w:r w:rsidRPr="00136E10">
                    <w:rPr>
                      <w:rStyle w:val="jlqj4b"/>
                      <w:lang w:val="en-US"/>
                    </w:rPr>
                    <w:t>B.N.</w:t>
                  </w:r>
                  <w:proofErr w:type="spellEnd"/>
                  <w:r w:rsidRPr="00136E10">
                    <w:rPr>
                      <w:rStyle w:val="jlqj4b"/>
                      <w:lang w:val="en-US"/>
                    </w:rPr>
                    <w:t xml:space="preserve"> Yeltsin</w:t>
                  </w:r>
                  <w:r w:rsidR="006C490B" w:rsidRPr="00A67B84">
                    <w:rPr>
                      <w:rStyle w:val="jlqj4b"/>
                      <w:lang w:val="en-US"/>
                    </w:rPr>
                    <w:t>,</w:t>
                  </w:r>
                  <w:r w:rsidRPr="00136E10">
                    <w:rPr>
                      <w:rStyle w:val="jlqj4b"/>
                      <w:lang w:val="en-US"/>
                    </w:rPr>
                    <w:t xml:space="preserve"> Yekaterinburg, </w:t>
                  </w:r>
                  <w:r w:rsidR="00F5713B">
                    <w:fldChar w:fldCharType="begin"/>
                  </w:r>
                  <w:r w:rsidR="00F5713B" w:rsidRPr="00BC27B3">
                    <w:rPr>
                      <w:lang w:val="en-US"/>
                    </w:rPr>
                    <w:instrText>HYPERLINK "mailto:a.v.sterkhov@urfu.ru"</w:instrText>
                  </w:r>
                  <w:r w:rsidR="00F5713B">
                    <w:fldChar w:fldCharType="separate"/>
                  </w:r>
                  <w:r w:rsidRPr="00136E10">
                    <w:rPr>
                      <w:rStyle w:val="afa"/>
                      <w:color w:val="auto"/>
                      <w:u w:val="none"/>
                      <w:lang w:val="en-US"/>
                    </w:rPr>
                    <w:t>a.v.sterkhov@urfu.ru</w:t>
                  </w:r>
                  <w:r w:rsidR="00F5713B">
                    <w:fldChar w:fldCharType="end"/>
                  </w:r>
                </w:p>
                <w:p w:rsidR="00901C15" w:rsidRPr="00136E10" w:rsidRDefault="00901C15" w:rsidP="00901C15">
                  <w:pPr>
                    <w:ind w:firstLine="340"/>
                    <w:jc w:val="right"/>
                    <w:rPr>
                      <w:b/>
                      <w:i/>
                      <w:sz w:val="18"/>
                      <w:szCs w:val="18"/>
                      <w:lang w:val="en-US"/>
                    </w:rPr>
                  </w:pPr>
                </w:p>
                <w:p w:rsidR="00901C15" w:rsidRPr="00136E10" w:rsidRDefault="00901C15" w:rsidP="00901C15">
                  <w:pPr>
                    <w:ind w:firstLine="340"/>
                    <w:jc w:val="right"/>
                    <w:rPr>
                      <w:b/>
                      <w:i/>
                      <w:sz w:val="18"/>
                      <w:szCs w:val="18"/>
                      <w:lang w:val="en-US"/>
                    </w:rPr>
                  </w:pPr>
                  <w:proofErr w:type="spellStart"/>
                  <w:r w:rsidRPr="00136E10">
                    <w:rPr>
                      <w:b/>
                      <w:i/>
                      <w:sz w:val="18"/>
                      <w:szCs w:val="18"/>
                    </w:rPr>
                    <w:t>Received</w:t>
                  </w:r>
                  <w:proofErr w:type="spellEnd"/>
                  <w:r w:rsidRPr="00136E10">
                    <w:rPr>
                      <w:b/>
                      <w:i/>
                      <w:sz w:val="18"/>
                      <w:szCs w:val="18"/>
                      <w:lang w:val="en-US"/>
                    </w:rPr>
                    <w:t xml:space="preserve"> November 24, 2021</w:t>
                  </w:r>
                </w:p>
                <w:p w:rsidR="00901C15" w:rsidRPr="00A67B84" w:rsidRDefault="00901C15" w:rsidP="00901C15">
                  <w:pPr>
                    <w:ind w:firstLine="340"/>
                    <w:jc w:val="right"/>
                    <w:rPr>
                      <w:b/>
                      <w:sz w:val="22"/>
                    </w:rPr>
                  </w:pPr>
                </w:p>
                <w:tbl>
                  <w:tblPr>
                    <w:tblW w:w="5000" w:type="pct"/>
                    <w:jc w:val="center"/>
                    <w:tblLook w:val="04A0"/>
                  </w:tblPr>
                  <w:tblGrid>
                    <w:gridCol w:w="4420"/>
                    <w:gridCol w:w="405"/>
                    <w:gridCol w:w="4412"/>
                  </w:tblGrid>
                  <w:tr w:rsidR="00901C15" w:rsidRPr="00136E10" w:rsidTr="00901C15">
                    <w:trPr>
                      <w:jc w:val="center"/>
                    </w:trPr>
                    <w:tc>
                      <w:tcPr>
                        <w:tcW w:w="2393" w:type="pct"/>
                        <w:tcBorders>
                          <w:top w:val="single" w:sz="4" w:space="0" w:color="auto"/>
                        </w:tcBorders>
                      </w:tcPr>
                      <w:p w:rsidR="00901C15" w:rsidRPr="00136E10" w:rsidRDefault="00901C15" w:rsidP="006C04F7">
                        <w:pPr>
                          <w:tabs>
                            <w:tab w:val="left" w:pos="397"/>
                          </w:tabs>
                          <w:spacing w:before="240" w:after="120"/>
                          <w:jc w:val="center"/>
                          <w:rPr>
                            <w:b/>
                            <w:sz w:val="18"/>
                          </w:rPr>
                        </w:pPr>
                        <w:r w:rsidRPr="00136E10">
                          <w:rPr>
                            <w:b/>
                            <w:caps/>
                            <w:sz w:val="18"/>
                          </w:rPr>
                          <w:t>Образец цитирования</w:t>
                        </w:r>
                      </w:p>
                    </w:tc>
                    <w:tc>
                      <w:tcPr>
                        <w:tcW w:w="219" w:type="pct"/>
                        <w:tcBorders>
                          <w:top w:val="single" w:sz="4" w:space="0" w:color="auto"/>
                        </w:tcBorders>
                      </w:tcPr>
                      <w:p w:rsidR="00901C15" w:rsidRPr="00136E10" w:rsidRDefault="00901C15" w:rsidP="006C04F7">
                        <w:pPr>
                          <w:tabs>
                            <w:tab w:val="left" w:pos="397"/>
                          </w:tabs>
                          <w:spacing w:before="240" w:after="120"/>
                          <w:jc w:val="center"/>
                          <w:rPr>
                            <w:b/>
                            <w:sz w:val="18"/>
                          </w:rPr>
                        </w:pPr>
                      </w:p>
                    </w:tc>
                    <w:tc>
                      <w:tcPr>
                        <w:tcW w:w="2388" w:type="pct"/>
                        <w:tcBorders>
                          <w:top w:val="single" w:sz="4" w:space="0" w:color="auto"/>
                        </w:tcBorders>
                      </w:tcPr>
                      <w:p w:rsidR="00901C15" w:rsidRPr="00136E10" w:rsidRDefault="00901C15" w:rsidP="006C04F7">
                        <w:pPr>
                          <w:tabs>
                            <w:tab w:val="left" w:pos="397"/>
                          </w:tabs>
                          <w:spacing w:before="240" w:after="120"/>
                          <w:jc w:val="center"/>
                          <w:rPr>
                            <w:b/>
                            <w:sz w:val="18"/>
                          </w:rPr>
                        </w:pPr>
                        <w:r w:rsidRPr="00136E10">
                          <w:rPr>
                            <w:b/>
                            <w:sz w:val="18"/>
                          </w:rPr>
                          <w:t>FOR CITATION</w:t>
                        </w:r>
                      </w:p>
                    </w:tc>
                  </w:tr>
                  <w:tr w:rsidR="00901C15" w:rsidRPr="00901C15" w:rsidTr="00901C15">
                    <w:trPr>
                      <w:jc w:val="center"/>
                    </w:trPr>
                    <w:tc>
                      <w:tcPr>
                        <w:tcW w:w="2393" w:type="pct"/>
                      </w:tcPr>
                      <w:p w:rsidR="00901C15" w:rsidRPr="00136E10" w:rsidRDefault="00901C15" w:rsidP="006C04F7">
                        <w:pPr>
                          <w:tabs>
                            <w:tab w:val="left" w:pos="397"/>
                          </w:tabs>
                          <w:ind w:firstLine="397"/>
                          <w:rPr>
                            <w:spacing w:val="-2"/>
                            <w:sz w:val="18"/>
                            <w:szCs w:val="18"/>
                            <w:lang w:val="en-US"/>
                          </w:rPr>
                        </w:pPr>
                        <w:r w:rsidRPr="00136E10">
                          <w:rPr>
                            <w:spacing w:val="-2"/>
                            <w:sz w:val="18"/>
                            <w:szCs w:val="18"/>
                          </w:rPr>
                          <w:t xml:space="preserve">Просвирина, И.И. </w:t>
                        </w:r>
                        <w:proofErr w:type="spellStart"/>
                        <w:r w:rsidRPr="00136E10">
                          <w:rPr>
                            <w:spacing w:val="-2"/>
                            <w:sz w:val="18"/>
                            <w:szCs w:val="18"/>
                          </w:rPr>
                          <w:t>Типологизация</w:t>
                        </w:r>
                        <w:proofErr w:type="spellEnd"/>
                        <w:r w:rsidRPr="00136E10">
                          <w:rPr>
                            <w:spacing w:val="-2"/>
                            <w:sz w:val="18"/>
                            <w:szCs w:val="18"/>
                          </w:rPr>
                          <w:t xml:space="preserve"> стратегий ко</w:t>
                        </w:r>
                        <w:r w:rsidRPr="00136E10">
                          <w:rPr>
                            <w:spacing w:val="-2"/>
                            <w:sz w:val="18"/>
                            <w:szCs w:val="18"/>
                          </w:rPr>
                          <w:t>р</w:t>
                        </w:r>
                        <w:r w:rsidRPr="00136E10">
                          <w:rPr>
                            <w:spacing w:val="-2"/>
                            <w:sz w:val="18"/>
                            <w:szCs w:val="18"/>
                          </w:rPr>
                          <w:t>поративного развития на основе интеграции и диве</w:t>
                        </w:r>
                        <w:r w:rsidRPr="00136E10">
                          <w:rPr>
                            <w:spacing w:val="-2"/>
                            <w:sz w:val="18"/>
                            <w:szCs w:val="18"/>
                          </w:rPr>
                          <w:t>р</w:t>
                        </w:r>
                        <w:r w:rsidRPr="00136E10">
                          <w:rPr>
                            <w:spacing w:val="-2"/>
                            <w:sz w:val="18"/>
                            <w:szCs w:val="18"/>
                          </w:rPr>
                          <w:t xml:space="preserve">сификации / И.И. Просвирина, А.В. </w:t>
                        </w:r>
                        <w:proofErr w:type="spellStart"/>
                        <w:r w:rsidRPr="00136E10">
                          <w:rPr>
                            <w:spacing w:val="-2"/>
                            <w:sz w:val="18"/>
                            <w:szCs w:val="18"/>
                          </w:rPr>
                          <w:t>Стерхов</w:t>
                        </w:r>
                        <w:proofErr w:type="spellEnd"/>
                        <w:r w:rsidRPr="00136E10">
                          <w:rPr>
                            <w:spacing w:val="-2"/>
                            <w:sz w:val="18"/>
                            <w:szCs w:val="18"/>
                          </w:rPr>
                          <w:t xml:space="preserve"> // Вестник ЮУрГУ. Серия «Экономика и менеджмент». – 2021. – Т. 15, № 4. – С. </w:t>
                        </w:r>
                        <w:r>
                          <w:rPr>
                            <w:spacing w:val="-2"/>
                            <w:sz w:val="18"/>
                            <w:szCs w:val="18"/>
                          </w:rPr>
                          <w:t>106</w:t>
                        </w:r>
                        <w:r w:rsidRPr="00136E10">
                          <w:rPr>
                            <w:spacing w:val="-2"/>
                            <w:sz w:val="18"/>
                            <w:szCs w:val="18"/>
                            <w:lang w:val="en-US"/>
                          </w:rPr>
                          <w:t>–</w:t>
                        </w:r>
                        <w:r>
                          <w:rPr>
                            <w:spacing w:val="-2"/>
                            <w:sz w:val="18"/>
                            <w:szCs w:val="18"/>
                          </w:rPr>
                          <w:t>114</w:t>
                        </w:r>
                        <w:r w:rsidRPr="00136E10">
                          <w:rPr>
                            <w:spacing w:val="-2"/>
                            <w:sz w:val="18"/>
                            <w:szCs w:val="18"/>
                          </w:rPr>
                          <w:t>. DOI: 10.14529/em2104</w:t>
                        </w:r>
                        <w:r w:rsidRPr="00136E10">
                          <w:rPr>
                            <w:spacing w:val="-2"/>
                            <w:sz w:val="18"/>
                            <w:szCs w:val="18"/>
                            <w:lang w:val="en-US"/>
                          </w:rPr>
                          <w:t>11</w:t>
                        </w:r>
                      </w:p>
                      <w:p w:rsidR="00901C15" w:rsidRPr="00136E10" w:rsidRDefault="00901C15" w:rsidP="006C04F7">
                        <w:pPr>
                          <w:tabs>
                            <w:tab w:val="left" w:pos="397"/>
                          </w:tabs>
                          <w:ind w:firstLine="397"/>
                          <w:rPr>
                            <w:sz w:val="18"/>
                            <w:szCs w:val="18"/>
                          </w:rPr>
                        </w:pPr>
                      </w:p>
                    </w:tc>
                    <w:tc>
                      <w:tcPr>
                        <w:tcW w:w="219" w:type="pct"/>
                      </w:tcPr>
                      <w:p w:rsidR="00901C15" w:rsidRPr="00136E10" w:rsidRDefault="00901C15" w:rsidP="006C04F7">
                        <w:pPr>
                          <w:tabs>
                            <w:tab w:val="left" w:pos="397"/>
                          </w:tabs>
                          <w:rPr>
                            <w:sz w:val="18"/>
                            <w:szCs w:val="18"/>
                            <w:highlight w:val="green"/>
                          </w:rPr>
                        </w:pPr>
                      </w:p>
                    </w:tc>
                    <w:tc>
                      <w:tcPr>
                        <w:tcW w:w="2388" w:type="pct"/>
                      </w:tcPr>
                      <w:p w:rsidR="00901C15" w:rsidRPr="00136E10" w:rsidRDefault="00901C15" w:rsidP="00901C15">
                        <w:pPr>
                          <w:tabs>
                            <w:tab w:val="left" w:pos="397"/>
                          </w:tabs>
                          <w:ind w:firstLine="397"/>
                          <w:rPr>
                            <w:sz w:val="18"/>
                            <w:szCs w:val="18"/>
                            <w:highlight w:val="green"/>
                            <w:lang w:val="en-US"/>
                          </w:rPr>
                        </w:pPr>
                        <w:proofErr w:type="spellStart"/>
                        <w:r w:rsidRPr="00136E10">
                          <w:rPr>
                            <w:spacing w:val="-2"/>
                            <w:sz w:val="18"/>
                            <w:szCs w:val="18"/>
                            <w:lang w:val="en-US"/>
                          </w:rPr>
                          <w:t>Prosvirina</w:t>
                        </w:r>
                        <w:proofErr w:type="spellEnd"/>
                        <w:r w:rsidRPr="00136E10">
                          <w:rPr>
                            <w:spacing w:val="-2"/>
                            <w:sz w:val="18"/>
                            <w:szCs w:val="18"/>
                            <w:lang w:val="en-US"/>
                          </w:rPr>
                          <w:t xml:space="preserve"> </w:t>
                        </w:r>
                        <w:proofErr w:type="spellStart"/>
                        <w:r w:rsidRPr="00136E10">
                          <w:rPr>
                            <w:spacing w:val="-2"/>
                            <w:sz w:val="18"/>
                            <w:szCs w:val="18"/>
                            <w:lang w:val="en-US"/>
                          </w:rPr>
                          <w:t>I.I.</w:t>
                        </w:r>
                        <w:proofErr w:type="spellEnd"/>
                        <w:r w:rsidRPr="00136E10">
                          <w:rPr>
                            <w:spacing w:val="-2"/>
                            <w:sz w:val="18"/>
                            <w:szCs w:val="18"/>
                            <w:lang w:val="en-US"/>
                          </w:rPr>
                          <w:t xml:space="preserve">, </w:t>
                        </w:r>
                        <w:proofErr w:type="spellStart"/>
                        <w:r w:rsidRPr="00136E10">
                          <w:rPr>
                            <w:spacing w:val="-2"/>
                            <w:sz w:val="18"/>
                            <w:szCs w:val="18"/>
                            <w:lang w:val="en-US"/>
                          </w:rPr>
                          <w:t>Sterkhov</w:t>
                        </w:r>
                        <w:proofErr w:type="spellEnd"/>
                        <w:r w:rsidRPr="00136E10">
                          <w:rPr>
                            <w:spacing w:val="-2"/>
                            <w:sz w:val="18"/>
                            <w:szCs w:val="18"/>
                            <w:lang w:val="en-US"/>
                          </w:rPr>
                          <w:t xml:space="preserve"> </w:t>
                        </w:r>
                        <w:proofErr w:type="spellStart"/>
                        <w:r w:rsidRPr="00136E10">
                          <w:rPr>
                            <w:spacing w:val="-2"/>
                            <w:sz w:val="18"/>
                            <w:szCs w:val="18"/>
                            <w:lang w:val="en-US"/>
                          </w:rPr>
                          <w:t>A.V.</w:t>
                        </w:r>
                        <w:proofErr w:type="spellEnd"/>
                        <w:r w:rsidRPr="00136E10">
                          <w:rPr>
                            <w:spacing w:val="-2"/>
                            <w:sz w:val="18"/>
                            <w:szCs w:val="18"/>
                            <w:lang w:val="en-US"/>
                          </w:rPr>
                          <w:t xml:space="preserve"> Typology of Corporate Development Strategies Based on Integration and Divers</w:t>
                        </w:r>
                        <w:r w:rsidRPr="00136E10">
                          <w:rPr>
                            <w:spacing w:val="-2"/>
                            <w:sz w:val="18"/>
                            <w:szCs w:val="18"/>
                            <w:lang w:val="en-US"/>
                          </w:rPr>
                          <w:t>i</w:t>
                        </w:r>
                        <w:r w:rsidRPr="00136E10">
                          <w:rPr>
                            <w:spacing w:val="-2"/>
                            <w:sz w:val="18"/>
                            <w:szCs w:val="18"/>
                            <w:lang w:val="en-US"/>
                          </w:rPr>
                          <w:t>fication</w:t>
                        </w:r>
                        <w:r w:rsidRPr="00136E10">
                          <w:rPr>
                            <w:sz w:val="18"/>
                            <w:szCs w:val="26"/>
                            <w:lang w:val="en-US"/>
                          </w:rPr>
                          <w:t xml:space="preserve">. </w:t>
                        </w:r>
                        <w:r w:rsidRPr="00136E10">
                          <w:rPr>
                            <w:i/>
                            <w:sz w:val="18"/>
                            <w:szCs w:val="18"/>
                            <w:lang w:val="en-US"/>
                          </w:rPr>
                          <w:t>Bulletin of the South Ural State University. Ser. Economics and Management</w:t>
                        </w:r>
                        <w:r w:rsidRPr="00136E10">
                          <w:rPr>
                            <w:sz w:val="18"/>
                            <w:szCs w:val="18"/>
                            <w:lang w:val="en-US"/>
                          </w:rPr>
                          <w:t xml:space="preserve">, 2021, vol. 15, no. 4, </w:t>
                        </w:r>
                        <w:r w:rsidRPr="00901C15">
                          <w:rPr>
                            <w:sz w:val="18"/>
                            <w:szCs w:val="18"/>
                            <w:lang w:val="en-US"/>
                          </w:rPr>
                          <w:br/>
                        </w:r>
                        <w:r w:rsidRPr="00136E10">
                          <w:rPr>
                            <w:sz w:val="18"/>
                            <w:szCs w:val="18"/>
                            <w:lang w:val="en-US"/>
                          </w:rPr>
                          <w:t xml:space="preserve">pp. </w:t>
                        </w:r>
                        <w:r w:rsidRPr="00C61960">
                          <w:rPr>
                            <w:spacing w:val="-2"/>
                            <w:sz w:val="18"/>
                            <w:szCs w:val="18"/>
                            <w:lang w:val="en-US"/>
                          </w:rPr>
                          <w:t>106</w:t>
                        </w:r>
                        <w:r w:rsidRPr="00136E10">
                          <w:rPr>
                            <w:spacing w:val="-2"/>
                            <w:sz w:val="18"/>
                            <w:szCs w:val="18"/>
                            <w:lang w:val="en-US"/>
                          </w:rPr>
                          <w:t>–</w:t>
                        </w:r>
                        <w:r w:rsidRPr="00C61960">
                          <w:rPr>
                            <w:spacing w:val="-2"/>
                            <w:sz w:val="18"/>
                            <w:szCs w:val="18"/>
                            <w:lang w:val="en-US"/>
                          </w:rPr>
                          <w:t>114</w:t>
                        </w:r>
                        <w:r w:rsidRPr="00136E10">
                          <w:rPr>
                            <w:spacing w:val="-2"/>
                            <w:sz w:val="18"/>
                            <w:szCs w:val="18"/>
                            <w:lang w:val="en-US"/>
                          </w:rPr>
                          <w:t>.</w:t>
                        </w:r>
                        <w:r w:rsidRPr="00136E10">
                          <w:rPr>
                            <w:sz w:val="18"/>
                            <w:szCs w:val="18"/>
                            <w:lang w:val="en-US"/>
                          </w:rPr>
                          <w:t xml:space="preserve"> (</w:t>
                        </w:r>
                        <w:proofErr w:type="gramStart"/>
                        <w:r w:rsidRPr="00136E10">
                          <w:rPr>
                            <w:sz w:val="18"/>
                            <w:szCs w:val="18"/>
                            <w:lang w:val="en-US"/>
                          </w:rPr>
                          <w:t>in</w:t>
                        </w:r>
                        <w:proofErr w:type="gramEnd"/>
                        <w:r w:rsidRPr="00136E10">
                          <w:rPr>
                            <w:sz w:val="18"/>
                            <w:szCs w:val="18"/>
                            <w:lang w:val="en-US"/>
                          </w:rPr>
                          <w:t xml:space="preserve"> Russ.). DOI: 10.14529/</w:t>
                        </w:r>
                        <w:r w:rsidRPr="00136E10">
                          <w:rPr>
                            <w:spacing w:val="-2"/>
                            <w:sz w:val="18"/>
                            <w:szCs w:val="18"/>
                            <w:lang w:val="en-US"/>
                          </w:rPr>
                          <w:t>em210411</w:t>
                        </w:r>
                      </w:p>
                    </w:tc>
                  </w:tr>
                </w:tbl>
                <w:p w:rsidR="00901C15" w:rsidRPr="00901C15" w:rsidRDefault="00901C15" w:rsidP="00C61960">
                  <w:pPr>
                    <w:rPr>
                      <w:lang w:val="en-US"/>
                    </w:rPr>
                  </w:pPr>
                </w:p>
              </w:txbxContent>
            </v:textbox>
          </v:shape>
        </w:pict>
      </w:r>
    </w:p>
    <w:sectPr w:rsidR="00136E10" w:rsidRPr="00136E10" w:rsidSect="00136E10">
      <w:headerReference w:type="even" r:id="rId12"/>
      <w:headerReference w:type="default" r:id="rId13"/>
      <w:footerReference w:type="even" r:id="rId14"/>
      <w:footerReference w:type="default" r:id="rId15"/>
      <w:footerReference w:type="first" r:id="rId16"/>
      <w:endnotePr>
        <w:numFmt w:val="decimal"/>
      </w:endnotePr>
      <w:type w:val="continuous"/>
      <w:pgSz w:w="11906" w:h="16838" w:code="9"/>
      <w:pgMar w:top="1525" w:right="1418" w:bottom="1304" w:left="1247" w:header="1021" w:footer="1021" w:gutter="0"/>
      <w:pgNumType w:start="106"/>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297" w:rsidRDefault="00DD0297">
      <w:r>
        <w:separator/>
      </w:r>
    </w:p>
  </w:endnote>
  <w:endnote w:type="continuationSeparator" w:id="0">
    <w:p w:rsidR="00DD0297" w:rsidRDefault="00DD02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8B0" w:rsidRPr="00A34534" w:rsidRDefault="00F5713B"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4238B0" w:rsidRPr="00A34534">
      <w:rPr>
        <w:rStyle w:val="afc"/>
        <w:rFonts w:ascii="Arial" w:hAnsi="Arial"/>
        <w:b/>
        <w:lang w:val="en-US"/>
      </w:rPr>
      <w:instrText xml:space="preserve">PAGE  </w:instrText>
    </w:r>
    <w:r>
      <w:rPr>
        <w:rStyle w:val="afc"/>
        <w:rFonts w:ascii="Arial" w:hAnsi="Arial"/>
        <w:b/>
      </w:rPr>
      <w:fldChar w:fldCharType="separate"/>
    </w:r>
    <w:r w:rsidR="00BC27B3">
      <w:rPr>
        <w:rStyle w:val="afc"/>
        <w:rFonts w:ascii="Arial" w:hAnsi="Arial"/>
        <w:b/>
        <w:noProof/>
        <w:lang w:val="en-US"/>
      </w:rPr>
      <w:t>114</w:t>
    </w:r>
    <w:r>
      <w:rPr>
        <w:rStyle w:val="afc"/>
        <w:rFonts w:ascii="Arial" w:hAnsi="Arial"/>
        <w:b/>
      </w:rPr>
      <w:fldChar w:fldCharType="end"/>
    </w:r>
  </w:p>
  <w:p w:rsidR="004238B0" w:rsidRPr="00C61960" w:rsidRDefault="004238B0" w:rsidP="00831A65">
    <w:pPr>
      <w:pStyle w:val="ab"/>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00901C15" w:rsidRPr="00C61960">
      <w:rPr>
        <w:rFonts w:ascii="Arial" w:hAnsi="Arial" w:cs="Arial"/>
        <w:b/>
        <w:sz w:val="17"/>
        <w:szCs w:val="17"/>
        <w:lang w:val="en-US"/>
      </w:rPr>
      <w:t>106</w:t>
    </w:r>
    <w:r w:rsidRPr="009541FA">
      <w:rPr>
        <w:rFonts w:ascii="Arial" w:hAnsi="Arial"/>
        <w:b/>
        <w:sz w:val="17"/>
        <w:szCs w:val="17"/>
        <w:lang w:val="en-US"/>
      </w:rPr>
      <w:t>–</w:t>
    </w:r>
    <w:r w:rsidR="00901C15" w:rsidRPr="00C61960">
      <w:rPr>
        <w:rFonts w:ascii="Arial" w:hAnsi="Arial"/>
        <w:b/>
        <w:sz w:val="17"/>
        <w:szCs w:val="17"/>
        <w:lang w:val="en-US"/>
      </w:rPr>
      <w:t>114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8B0" w:rsidRDefault="00F5713B"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4238B0">
      <w:rPr>
        <w:rStyle w:val="afc"/>
        <w:rFonts w:ascii="Arial" w:hAnsi="Arial"/>
        <w:b/>
      </w:rPr>
      <w:instrText xml:space="preserve">PAGE  </w:instrText>
    </w:r>
    <w:r>
      <w:rPr>
        <w:rStyle w:val="afc"/>
        <w:rFonts w:ascii="Arial" w:hAnsi="Arial"/>
        <w:b/>
      </w:rPr>
      <w:fldChar w:fldCharType="separate"/>
    </w:r>
    <w:r w:rsidR="00BC27B3">
      <w:rPr>
        <w:rStyle w:val="afc"/>
        <w:rFonts w:ascii="Arial" w:hAnsi="Arial"/>
        <w:b/>
        <w:noProof/>
      </w:rPr>
      <w:t>113</w:t>
    </w:r>
    <w:r>
      <w:rPr>
        <w:rStyle w:val="afc"/>
        <w:rFonts w:ascii="Arial" w:hAnsi="Arial"/>
        <w:b/>
      </w:rPr>
      <w:fldChar w:fldCharType="end"/>
    </w:r>
  </w:p>
  <w:p w:rsidR="004238B0" w:rsidRDefault="004238B0" w:rsidP="00831A65">
    <w:pPr>
      <w:pStyle w:val="ab"/>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sidR="00901C15">
      <w:rPr>
        <w:rFonts w:ascii="Arial" w:hAnsi="Arial" w:cs="Arial"/>
        <w:b/>
        <w:sz w:val="17"/>
        <w:szCs w:val="17"/>
      </w:rPr>
      <w:t>106</w:t>
    </w:r>
    <w:r w:rsidR="00901C15" w:rsidRPr="009541FA">
      <w:rPr>
        <w:rFonts w:ascii="Arial" w:hAnsi="Arial"/>
        <w:b/>
        <w:sz w:val="17"/>
        <w:szCs w:val="17"/>
        <w:lang w:val="en-US"/>
      </w:rPr>
      <w:t>–</w:t>
    </w:r>
    <w:r w:rsidR="00901C15">
      <w:rPr>
        <w:rFonts w:ascii="Arial" w:hAnsi="Arial"/>
        <w:b/>
        <w:sz w:val="17"/>
        <w:szCs w:val="17"/>
      </w:rPr>
      <w:t>114</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8B0" w:rsidRPr="00DE62AF" w:rsidRDefault="00F5713B"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4238B0" w:rsidRPr="00DE62AF">
      <w:rPr>
        <w:rStyle w:val="afc"/>
        <w:rFonts w:ascii="Arial" w:hAnsi="Arial"/>
        <w:b/>
        <w:lang w:val="en-US"/>
      </w:rPr>
      <w:instrText xml:space="preserve">PAGE  </w:instrText>
    </w:r>
    <w:r>
      <w:rPr>
        <w:rStyle w:val="afc"/>
        <w:rFonts w:ascii="Arial" w:hAnsi="Arial"/>
        <w:b/>
      </w:rPr>
      <w:fldChar w:fldCharType="separate"/>
    </w:r>
    <w:r w:rsidR="00BC27B3">
      <w:rPr>
        <w:rStyle w:val="afc"/>
        <w:rFonts w:ascii="Arial" w:hAnsi="Arial"/>
        <w:b/>
        <w:noProof/>
        <w:lang w:val="en-US"/>
      </w:rPr>
      <w:t>106</w:t>
    </w:r>
    <w:r>
      <w:rPr>
        <w:rStyle w:val="afc"/>
        <w:rFonts w:ascii="Arial" w:hAnsi="Arial"/>
        <w:b/>
      </w:rPr>
      <w:fldChar w:fldCharType="end"/>
    </w:r>
  </w:p>
  <w:p w:rsidR="004238B0" w:rsidRPr="003B1D4A" w:rsidRDefault="004238B0" w:rsidP="00F311F0">
    <w:pPr>
      <w:pStyle w:val="ab"/>
      <w:pBdr>
        <w:top w:val="single" w:sz="12" w:space="3" w:color="auto"/>
      </w:pBdr>
      <w:spacing w:before="80"/>
      <w:jc w:val="right"/>
      <w:rPr>
        <w:sz w:val="17"/>
        <w:szCs w:val="17"/>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00901C15" w:rsidRPr="00C61960">
      <w:rPr>
        <w:rFonts w:ascii="Arial" w:hAnsi="Arial" w:cs="Arial"/>
        <w:b/>
        <w:sz w:val="17"/>
        <w:szCs w:val="17"/>
        <w:lang w:val="en-US"/>
      </w:rPr>
      <w:t>106</w:t>
    </w:r>
    <w:r w:rsidR="00901C15" w:rsidRPr="009541FA">
      <w:rPr>
        <w:rFonts w:ascii="Arial" w:hAnsi="Arial"/>
        <w:b/>
        <w:sz w:val="17"/>
        <w:szCs w:val="17"/>
        <w:lang w:val="en-US"/>
      </w:rPr>
      <w:t>–</w:t>
    </w:r>
    <w:r w:rsidR="00901C15" w:rsidRPr="00C61960">
      <w:rPr>
        <w:rFonts w:ascii="Arial" w:hAnsi="Arial"/>
        <w:b/>
        <w:sz w:val="17"/>
        <w:szCs w:val="17"/>
        <w:lang w:val="en-US"/>
      </w:rPr>
      <w:t>114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297" w:rsidRDefault="00DD0297">
      <w:r>
        <w:separator/>
      </w:r>
    </w:p>
  </w:footnote>
  <w:footnote w:type="continuationSeparator" w:id="0">
    <w:p w:rsidR="00DD0297" w:rsidRDefault="00DD0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8B0" w:rsidRPr="003C34B3" w:rsidRDefault="004238B0">
    <w:pPr>
      <w:pStyle w:val="a9"/>
      <w:pBdr>
        <w:bottom w:val="single" w:sz="4" w:space="1" w:color="auto"/>
      </w:pBdr>
      <w:tabs>
        <w:tab w:val="clear" w:pos="4153"/>
        <w:tab w:val="clear" w:pos="8306"/>
        <w:tab w:val="decimal" w:pos="9214"/>
      </w:tabs>
      <w:spacing w:before="100" w:after="120"/>
      <w:rPr>
        <w:rFonts w:ascii="Arial" w:hAnsi="Arial"/>
        <w:b/>
        <w:sz w:val="28"/>
        <w:szCs w:val="28"/>
      </w:rPr>
    </w:pPr>
    <w:r>
      <w:rPr>
        <w:rFonts w:ascii="Arial" w:hAnsi="Arial" w:cs="Arial"/>
        <w:b/>
        <w:sz w:val="28"/>
        <w:szCs w:val="28"/>
      </w:rPr>
      <w:t>Э</w:t>
    </w:r>
    <w:r w:rsidRPr="003C34B3">
      <w:rPr>
        <w:rFonts w:ascii="Arial" w:hAnsi="Arial" w:cs="Arial"/>
        <w:b/>
        <w:sz w:val="28"/>
        <w:szCs w:val="28"/>
      </w:rPr>
      <w:t>кономика</w:t>
    </w:r>
    <w:r>
      <w:rPr>
        <w:rFonts w:ascii="Arial" w:hAnsi="Arial" w:cs="Arial"/>
        <w:b/>
        <w:sz w:val="28"/>
        <w:szCs w:val="28"/>
      </w:rPr>
      <w:t xml:space="preserve"> и финансы</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E10" w:rsidRDefault="00136E10" w:rsidP="00F311F0">
    <w:pPr>
      <w:adjustRightInd w:val="0"/>
      <w:rPr>
        <w:rFonts w:ascii="Arial" w:hAnsi="Arial" w:cs="Arial"/>
        <w:b/>
        <w:i/>
        <w:sz w:val="18"/>
        <w:szCs w:val="18"/>
      </w:rPr>
    </w:pPr>
    <w:r w:rsidRPr="00136E10">
      <w:rPr>
        <w:rFonts w:ascii="Arial" w:hAnsi="Arial" w:cs="Arial"/>
        <w:b/>
        <w:i/>
        <w:sz w:val="18"/>
        <w:szCs w:val="18"/>
      </w:rPr>
      <w:t xml:space="preserve">Просвирина И.И., Стерхов А.В. </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136E10">
      <w:rPr>
        <w:rFonts w:ascii="Arial" w:hAnsi="Arial" w:cs="Arial"/>
        <w:b/>
        <w:i/>
        <w:sz w:val="18"/>
        <w:szCs w:val="18"/>
      </w:rPr>
      <w:t xml:space="preserve">Типологизация стратегий корпоративного </w:t>
    </w:r>
  </w:p>
  <w:p w:rsidR="004238B0" w:rsidRPr="00171D17" w:rsidRDefault="004238B0" w:rsidP="008477B2">
    <w:pPr>
      <w:pStyle w:val="a9"/>
      <w:pBdr>
        <w:bottom w:val="single" w:sz="4" w:space="1" w:color="auto"/>
      </w:pBdr>
      <w:tabs>
        <w:tab w:val="clear" w:pos="4153"/>
        <w:tab w:val="clear" w:pos="8306"/>
        <w:tab w:val="left" w:pos="454"/>
      </w:tabs>
      <w:spacing w:after="120"/>
      <w:jc w:val="right"/>
    </w:pP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171D17">
      <w:rPr>
        <w:rFonts w:ascii="Arial" w:hAnsi="Arial" w:cs="Arial"/>
        <w:b/>
        <w:i/>
        <w:sz w:val="18"/>
        <w:szCs w:val="18"/>
      </w:rPr>
      <w:tab/>
    </w: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171D17">
      <w:rPr>
        <w:rFonts w:ascii="Arial" w:hAnsi="Arial" w:cs="Arial"/>
        <w:b/>
        <w:i/>
        <w:sz w:val="18"/>
        <w:szCs w:val="18"/>
      </w:rPr>
      <w:t xml:space="preserve"> </w:t>
    </w:r>
    <w:r w:rsidR="00136E10" w:rsidRPr="00136E10">
      <w:rPr>
        <w:rFonts w:ascii="Arial" w:hAnsi="Arial" w:cs="Arial"/>
        <w:b/>
        <w:i/>
        <w:sz w:val="18"/>
        <w:szCs w:val="18"/>
      </w:rPr>
      <w:t>развития на основе интеграции и диверсификации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12">
    <w:nsid w:val="5E65074C"/>
    <w:multiLevelType w:val="hybridMultilevel"/>
    <w:tmpl w:val="29FE6EDC"/>
    <w:lvl w:ilvl="0" w:tplc="5E463DA6">
      <w:start w:val="1"/>
      <w:numFmt w:val="decimal"/>
      <w:pStyle w:val="a2"/>
      <w:lvlText w:val="%1."/>
      <w:lvlJc w:val="left"/>
      <w:pPr>
        <w:tabs>
          <w:tab w:val="num" w:pos="1571"/>
        </w:tabs>
        <w:ind w:left="1571" w:hanging="360"/>
      </w:pPr>
    </w:lvl>
    <w:lvl w:ilvl="1" w:tplc="69E4DE50" w:tentative="1">
      <w:start w:val="1"/>
      <w:numFmt w:val="lowerLetter"/>
      <w:lvlText w:val="%2."/>
      <w:lvlJc w:val="left"/>
      <w:pPr>
        <w:tabs>
          <w:tab w:val="num" w:pos="2291"/>
        </w:tabs>
        <w:ind w:left="2291" w:hanging="360"/>
      </w:pPr>
    </w:lvl>
    <w:lvl w:ilvl="2" w:tplc="1F22C95C" w:tentative="1">
      <w:start w:val="1"/>
      <w:numFmt w:val="lowerRoman"/>
      <w:lvlText w:val="%3."/>
      <w:lvlJc w:val="right"/>
      <w:pPr>
        <w:tabs>
          <w:tab w:val="num" w:pos="3011"/>
        </w:tabs>
        <w:ind w:left="3011" w:hanging="180"/>
      </w:pPr>
    </w:lvl>
    <w:lvl w:ilvl="3" w:tplc="6B6EBD34" w:tentative="1">
      <w:start w:val="1"/>
      <w:numFmt w:val="decimal"/>
      <w:lvlText w:val="%4."/>
      <w:lvlJc w:val="left"/>
      <w:pPr>
        <w:tabs>
          <w:tab w:val="num" w:pos="3731"/>
        </w:tabs>
        <w:ind w:left="3731" w:hanging="360"/>
      </w:pPr>
    </w:lvl>
    <w:lvl w:ilvl="4" w:tplc="F1AE3FEC" w:tentative="1">
      <w:start w:val="1"/>
      <w:numFmt w:val="lowerLetter"/>
      <w:lvlText w:val="%5."/>
      <w:lvlJc w:val="left"/>
      <w:pPr>
        <w:tabs>
          <w:tab w:val="num" w:pos="4451"/>
        </w:tabs>
        <w:ind w:left="4451" w:hanging="360"/>
      </w:pPr>
    </w:lvl>
    <w:lvl w:ilvl="5" w:tplc="93EAF750" w:tentative="1">
      <w:start w:val="1"/>
      <w:numFmt w:val="lowerRoman"/>
      <w:lvlText w:val="%6."/>
      <w:lvlJc w:val="right"/>
      <w:pPr>
        <w:tabs>
          <w:tab w:val="num" w:pos="5171"/>
        </w:tabs>
        <w:ind w:left="5171" w:hanging="180"/>
      </w:pPr>
    </w:lvl>
    <w:lvl w:ilvl="6" w:tplc="52C6F0F4" w:tentative="1">
      <w:start w:val="1"/>
      <w:numFmt w:val="decimal"/>
      <w:lvlText w:val="%7."/>
      <w:lvlJc w:val="left"/>
      <w:pPr>
        <w:tabs>
          <w:tab w:val="num" w:pos="5891"/>
        </w:tabs>
        <w:ind w:left="5891" w:hanging="360"/>
      </w:pPr>
    </w:lvl>
    <w:lvl w:ilvl="7" w:tplc="3F3C63B8" w:tentative="1">
      <w:start w:val="1"/>
      <w:numFmt w:val="lowerLetter"/>
      <w:lvlText w:val="%8."/>
      <w:lvlJc w:val="left"/>
      <w:pPr>
        <w:tabs>
          <w:tab w:val="num" w:pos="6611"/>
        </w:tabs>
        <w:ind w:left="6611" w:hanging="360"/>
      </w:pPr>
    </w:lvl>
    <w:lvl w:ilvl="8" w:tplc="F96AE29C" w:tentative="1">
      <w:start w:val="1"/>
      <w:numFmt w:val="lowerRoman"/>
      <w:lvlText w:val="%9."/>
      <w:lvlJc w:val="right"/>
      <w:pPr>
        <w:tabs>
          <w:tab w:val="num" w:pos="7331"/>
        </w:tabs>
        <w:ind w:left="7331" w:hanging="180"/>
      </w:pPr>
    </w:lvl>
  </w:abstractNum>
  <w:abstractNum w:abstractNumId="13">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14">
    <w:nsid w:val="69DA23FB"/>
    <w:multiLevelType w:val="hybridMultilevel"/>
    <w:tmpl w:val="D3A84A7C"/>
    <w:lvl w:ilvl="0" w:tplc="72383B8C">
      <w:start w:val="1"/>
      <w:numFmt w:val="bullet"/>
      <w:pStyle w:val="1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C402C58"/>
    <w:multiLevelType w:val="hybridMultilevel"/>
    <w:tmpl w:val="3C0611EA"/>
    <w:lvl w:ilvl="0" w:tplc="0419000F">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nsid w:val="7CD255F0"/>
    <w:multiLevelType w:val="hybridMultilevel"/>
    <w:tmpl w:val="1BBC66D6"/>
    <w:lvl w:ilvl="0" w:tplc="04190001">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190003" w:tentative="1">
      <w:start w:val="1"/>
      <w:numFmt w:val="lowerLetter"/>
      <w:lvlText w:val="%2."/>
      <w:lvlJc w:val="left"/>
      <w:pPr>
        <w:ind w:left="1469" w:hanging="360"/>
      </w:pPr>
    </w:lvl>
    <w:lvl w:ilvl="2" w:tplc="04190005" w:tentative="1">
      <w:start w:val="1"/>
      <w:numFmt w:val="lowerRoman"/>
      <w:lvlText w:val="%3."/>
      <w:lvlJc w:val="right"/>
      <w:pPr>
        <w:ind w:left="2189" w:hanging="180"/>
      </w:pPr>
    </w:lvl>
    <w:lvl w:ilvl="3" w:tplc="04190001" w:tentative="1">
      <w:start w:val="1"/>
      <w:numFmt w:val="decimal"/>
      <w:lvlText w:val="%4."/>
      <w:lvlJc w:val="left"/>
      <w:pPr>
        <w:ind w:left="2909" w:hanging="360"/>
      </w:pPr>
    </w:lvl>
    <w:lvl w:ilvl="4" w:tplc="04190003" w:tentative="1">
      <w:start w:val="1"/>
      <w:numFmt w:val="lowerLetter"/>
      <w:lvlText w:val="%5."/>
      <w:lvlJc w:val="left"/>
      <w:pPr>
        <w:ind w:left="3629" w:hanging="360"/>
      </w:pPr>
    </w:lvl>
    <w:lvl w:ilvl="5" w:tplc="04190005" w:tentative="1">
      <w:start w:val="1"/>
      <w:numFmt w:val="lowerRoman"/>
      <w:lvlText w:val="%6."/>
      <w:lvlJc w:val="right"/>
      <w:pPr>
        <w:ind w:left="4349" w:hanging="180"/>
      </w:pPr>
    </w:lvl>
    <w:lvl w:ilvl="6" w:tplc="04190001" w:tentative="1">
      <w:start w:val="1"/>
      <w:numFmt w:val="decimal"/>
      <w:lvlText w:val="%7."/>
      <w:lvlJc w:val="left"/>
      <w:pPr>
        <w:ind w:left="5069" w:hanging="360"/>
      </w:pPr>
    </w:lvl>
    <w:lvl w:ilvl="7" w:tplc="04190003" w:tentative="1">
      <w:start w:val="1"/>
      <w:numFmt w:val="lowerLetter"/>
      <w:lvlText w:val="%8."/>
      <w:lvlJc w:val="left"/>
      <w:pPr>
        <w:ind w:left="5789" w:hanging="360"/>
      </w:pPr>
    </w:lvl>
    <w:lvl w:ilvl="8" w:tplc="04190005" w:tentative="1">
      <w:start w:val="1"/>
      <w:numFmt w:val="lowerRoman"/>
      <w:lvlText w:val="%9."/>
      <w:lvlJc w:val="right"/>
      <w:pPr>
        <w:ind w:left="6509" w:hanging="180"/>
      </w:pPr>
    </w:lvl>
  </w:abstractNum>
  <w:num w:numId="1">
    <w:abstractNumId w:val="13"/>
  </w:num>
  <w:num w:numId="2">
    <w:abstractNumId w:val="4"/>
  </w:num>
  <w:num w:numId="3">
    <w:abstractNumId w:val="8"/>
  </w:num>
  <w:num w:numId="4">
    <w:abstractNumId w:val="6"/>
  </w:num>
  <w:num w:numId="5">
    <w:abstractNumId w:val="14"/>
  </w:num>
  <w:num w:numId="6">
    <w:abstractNumId w:val="7"/>
  </w:num>
  <w:num w:numId="7">
    <w:abstractNumId w:val="2"/>
  </w:num>
  <w:num w:numId="8">
    <w:abstractNumId w:val="3"/>
  </w:num>
  <w:num w:numId="9">
    <w:abstractNumId w:val="1"/>
  </w:num>
  <w:num w:numId="10">
    <w:abstractNumId w:val="0"/>
  </w:num>
  <w:num w:numId="11">
    <w:abstractNumId w:val="11"/>
  </w:num>
  <w:num w:numId="12">
    <w:abstractNumId w:val="10"/>
  </w:num>
  <w:num w:numId="13">
    <w:abstractNumId w:val="12"/>
  </w:num>
  <w:num w:numId="14">
    <w:abstractNumId w:val="9"/>
  </w:num>
  <w:num w:numId="15">
    <w:abstractNumId w:val="15"/>
  </w:num>
  <w:num w:numId="16">
    <w:abstractNumId w:val="5"/>
  </w:num>
  <w:num w:numId="17">
    <w:abstractNumId w:val="16"/>
  </w:num>
  <w:num w:numId="18">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14338"/>
  </w:hdrShapeDefaults>
  <w:footnotePr>
    <w:footnote w:id="-1"/>
    <w:footnote w:id="0"/>
  </w:footnotePr>
  <w:endnotePr>
    <w:numFmt w:val="decimal"/>
    <w:endnote w:id="-1"/>
    <w:endnote w:id="0"/>
  </w:endnotePr>
  <w:compat/>
  <w:rsids>
    <w:rsidRoot w:val="00412442"/>
    <w:rsid w:val="00003241"/>
    <w:rsid w:val="00004266"/>
    <w:rsid w:val="000054B8"/>
    <w:rsid w:val="0000762D"/>
    <w:rsid w:val="0001111F"/>
    <w:rsid w:val="0001193F"/>
    <w:rsid w:val="00015FDD"/>
    <w:rsid w:val="000170F4"/>
    <w:rsid w:val="000178E4"/>
    <w:rsid w:val="00020B8E"/>
    <w:rsid w:val="0002170C"/>
    <w:rsid w:val="000220F2"/>
    <w:rsid w:val="0002387E"/>
    <w:rsid w:val="0002445B"/>
    <w:rsid w:val="00024C7B"/>
    <w:rsid w:val="00024D1B"/>
    <w:rsid w:val="000251AD"/>
    <w:rsid w:val="00025CA6"/>
    <w:rsid w:val="0003341E"/>
    <w:rsid w:val="0003465E"/>
    <w:rsid w:val="00034D12"/>
    <w:rsid w:val="00035779"/>
    <w:rsid w:val="00037115"/>
    <w:rsid w:val="000405F8"/>
    <w:rsid w:val="00040EA5"/>
    <w:rsid w:val="00041326"/>
    <w:rsid w:val="00041D11"/>
    <w:rsid w:val="00043C87"/>
    <w:rsid w:val="00045CFD"/>
    <w:rsid w:val="00046C3B"/>
    <w:rsid w:val="0005318B"/>
    <w:rsid w:val="00053AC3"/>
    <w:rsid w:val="0005573F"/>
    <w:rsid w:val="000624AD"/>
    <w:rsid w:val="00062FFC"/>
    <w:rsid w:val="00065A94"/>
    <w:rsid w:val="00066E36"/>
    <w:rsid w:val="00071179"/>
    <w:rsid w:val="000720BF"/>
    <w:rsid w:val="00073303"/>
    <w:rsid w:val="00076A6C"/>
    <w:rsid w:val="000770A1"/>
    <w:rsid w:val="00077738"/>
    <w:rsid w:val="000812E1"/>
    <w:rsid w:val="00081701"/>
    <w:rsid w:val="00082AE9"/>
    <w:rsid w:val="0008437E"/>
    <w:rsid w:val="00084C1E"/>
    <w:rsid w:val="00084D47"/>
    <w:rsid w:val="00086877"/>
    <w:rsid w:val="00086C5E"/>
    <w:rsid w:val="00091374"/>
    <w:rsid w:val="0009207B"/>
    <w:rsid w:val="000921CC"/>
    <w:rsid w:val="00094E5E"/>
    <w:rsid w:val="00094F47"/>
    <w:rsid w:val="00095CC4"/>
    <w:rsid w:val="00096A6C"/>
    <w:rsid w:val="000A099E"/>
    <w:rsid w:val="000A1231"/>
    <w:rsid w:val="000B0527"/>
    <w:rsid w:val="000B43E1"/>
    <w:rsid w:val="000B441D"/>
    <w:rsid w:val="000B44A0"/>
    <w:rsid w:val="000B690B"/>
    <w:rsid w:val="000B7541"/>
    <w:rsid w:val="000C2426"/>
    <w:rsid w:val="000C33A0"/>
    <w:rsid w:val="000D04DD"/>
    <w:rsid w:val="000D0ACA"/>
    <w:rsid w:val="000D0F29"/>
    <w:rsid w:val="000D137B"/>
    <w:rsid w:val="000D30D2"/>
    <w:rsid w:val="000D3686"/>
    <w:rsid w:val="000E2529"/>
    <w:rsid w:val="000E3544"/>
    <w:rsid w:val="000E3A40"/>
    <w:rsid w:val="000E64E9"/>
    <w:rsid w:val="000E6777"/>
    <w:rsid w:val="000E6FAB"/>
    <w:rsid w:val="000E7D8E"/>
    <w:rsid w:val="000E7D91"/>
    <w:rsid w:val="000F0B23"/>
    <w:rsid w:val="000F0D28"/>
    <w:rsid w:val="000F465A"/>
    <w:rsid w:val="000F51AD"/>
    <w:rsid w:val="000F5955"/>
    <w:rsid w:val="000F5C10"/>
    <w:rsid w:val="000F60EF"/>
    <w:rsid w:val="000F6475"/>
    <w:rsid w:val="000F718C"/>
    <w:rsid w:val="00100511"/>
    <w:rsid w:val="00100F20"/>
    <w:rsid w:val="00102D4F"/>
    <w:rsid w:val="00105A52"/>
    <w:rsid w:val="0010641C"/>
    <w:rsid w:val="00107D4F"/>
    <w:rsid w:val="0011075D"/>
    <w:rsid w:val="001126B6"/>
    <w:rsid w:val="00113DB2"/>
    <w:rsid w:val="00114533"/>
    <w:rsid w:val="00114557"/>
    <w:rsid w:val="00114A75"/>
    <w:rsid w:val="001224BE"/>
    <w:rsid w:val="00123002"/>
    <w:rsid w:val="001240E9"/>
    <w:rsid w:val="0012586F"/>
    <w:rsid w:val="00126428"/>
    <w:rsid w:val="0012777A"/>
    <w:rsid w:val="00131FFC"/>
    <w:rsid w:val="001345D3"/>
    <w:rsid w:val="0013516B"/>
    <w:rsid w:val="0013567D"/>
    <w:rsid w:val="00135A9B"/>
    <w:rsid w:val="00135CAB"/>
    <w:rsid w:val="00136E10"/>
    <w:rsid w:val="00137842"/>
    <w:rsid w:val="001401DD"/>
    <w:rsid w:val="00140960"/>
    <w:rsid w:val="00144836"/>
    <w:rsid w:val="00145815"/>
    <w:rsid w:val="00147E01"/>
    <w:rsid w:val="001536D6"/>
    <w:rsid w:val="001549ED"/>
    <w:rsid w:val="00155A10"/>
    <w:rsid w:val="001571DE"/>
    <w:rsid w:val="00157D72"/>
    <w:rsid w:val="00161B90"/>
    <w:rsid w:val="0016260C"/>
    <w:rsid w:val="00164E80"/>
    <w:rsid w:val="00165CC6"/>
    <w:rsid w:val="001667D5"/>
    <w:rsid w:val="001701FC"/>
    <w:rsid w:val="001711DD"/>
    <w:rsid w:val="00171D17"/>
    <w:rsid w:val="00171F40"/>
    <w:rsid w:val="0017290D"/>
    <w:rsid w:val="00173E89"/>
    <w:rsid w:val="00174517"/>
    <w:rsid w:val="001756A0"/>
    <w:rsid w:val="00177094"/>
    <w:rsid w:val="00180C32"/>
    <w:rsid w:val="00180FCD"/>
    <w:rsid w:val="00181783"/>
    <w:rsid w:val="0018278F"/>
    <w:rsid w:val="00182F39"/>
    <w:rsid w:val="0018460C"/>
    <w:rsid w:val="00184D47"/>
    <w:rsid w:val="00184E6A"/>
    <w:rsid w:val="001871B3"/>
    <w:rsid w:val="0019079B"/>
    <w:rsid w:val="00194D6D"/>
    <w:rsid w:val="001A11C9"/>
    <w:rsid w:val="001A2934"/>
    <w:rsid w:val="001A4348"/>
    <w:rsid w:val="001A6D3B"/>
    <w:rsid w:val="001A77BD"/>
    <w:rsid w:val="001A781F"/>
    <w:rsid w:val="001B378A"/>
    <w:rsid w:val="001B502A"/>
    <w:rsid w:val="001B558B"/>
    <w:rsid w:val="001B5A08"/>
    <w:rsid w:val="001B6465"/>
    <w:rsid w:val="001B6F42"/>
    <w:rsid w:val="001C0251"/>
    <w:rsid w:val="001C0F2B"/>
    <w:rsid w:val="001C0F86"/>
    <w:rsid w:val="001C114F"/>
    <w:rsid w:val="001C502A"/>
    <w:rsid w:val="001C5D0F"/>
    <w:rsid w:val="001C5E3F"/>
    <w:rsid w:val="001C74DA"/>
    <w:rsid w:val="001D1CEA"/>
    <w:rsid w:val="001D2CE0"/>
    <w:rsid w:val="001D5B53"/>
    <w:rsid w:val="001E0985"/>
    <w:rsid w:val="001E2250"/>
    <w:rsid w:val="001E2A42"/>
    <w:rsid w:val="001E2BEA"/>
    <w:rsid w:val="001E7631"/>
    <w:rsid w:val="001F1C49"/>
    <w:rsid w:val="001F1E1E"/>
    <w:rsid w:val="001F35D9"/>
    <w:rsid w:val="001F5051"/>
    <w:rsid w:val="00203B14"/>
    <w:rsid w:val="00204A5C"/>
    <w:rsid w:val="002052A1"/>
    <w:rsid w:val="00205B82"/>
    <w:rsid w:val="00205D0F"/>
    <w:rsid w:val="00206A65"/>
    <w:rsid w:val="00210156"/>
    <w:rsid w:val="00214689"/>
    <w:rsid w:val="002171AB"/>
    <w:rsid w:val="00224F87"/>
    <w:rsid w:val="002251E8"/>
    <w:rsid w:val="00226AED"/>
    <w:rsid w:val="002303AA"/>
    <w:rsid w:val="00230880"/>
    <w:rsid w:val="00231ECC"/>
    <w:rsid w:val="00235326"/>
    <w:rsid w:val="0023538E"/>
    <w:rsid w:val="00235B39"/>
    <w:rsid w:val="0023668B"/>
    <w:rsid w:val="002401D0"/>
    <w:rsid w:val="00240758"/>
    <w:rsid w:val="002443E7"/>
    <w:rsid w:val="002460ED"/>
    <w:rsid w:val="002466AB"/>
    <w:rsid w:val="00247014"/>
    <w:rsid w:val="00251555"/>
    <w:rsid w:val="00253476"/>
    <w:rsid w:val="00254457"/>
    <w:rsid w:val="002562FF"/>
    <w:rsid w:val="002601EC"/>
    <w:rsid w:val="00261DD1"/>
    <w:rsid w:val="0026405C"/>
    <w:rsid w:val="00270C9E"/>
    <w:rsid w:val="002711F5"/>
    <w:rsid w:val="00271265"/>
    <w:rsid w:val="00271F1C"/>
    <w:rsid w:val="002808A9"/>
    <w:rsid w:val="00280DB9"/>
    <w:rsid w:val="00281E28"/>
    <w:rsid w:val="00282F8C"/>
    <w:rsid w:val="00286536"/>
    <w:rsid w:val="00286674"/>
    <w:rsid w:val="00287986"/>
    <w:rsid w:val="002947B7"/>
    <w:rsid w:val="00296883"/>
    <w:rsid w:val="00296F4E"/>
    <w:rsid w:val="002978D1"/>
    <w:rsid w:val="002A1315"/>
    <w:rsid w:val="002A2165"/>
    <w:rsid w:val="002A325E"/>
    <w:rsid w:val="002A4FB7"/>
    <w:rsid w:val="002A70BF"/>
    <w:rsid w:val="002B14BD"/>
    <w:rsid w:val="002B413E"/>
    <w:rsid w:val="002B520B"/>
    <w:rsid w:val="002B5C00"/>
    <w:rsid w:val="002B5E13"/>
    <w:rsid w:val="002B7B79"/>
    <w:rsid w:val="002C13EB"/>
    <w:rsid w:val="002C1CAF"/>
    <w:rsid w:val="002C41A5"/>
    <w:rsid w:val="002C4464"/>
    <w:rsid w:val="002C4BEF"/>
    <w:rsid w:val="002C5EBA"/>
    <w:rsid w:val="002D0653"/>
    <w:rsid w:val="002D0A82"/>
    <w:rsid w:val="002D11CB"/>
    <w:rsid w:val="002D63F6"/>
    <w:rsid w:val="002E005A"/>
    <w:rsid w:val="002E40A1"/>
    <w:rsid w:val="002E5C49"/>
    <w:rsid w:val="002E62B7"/>
    <w:rsid w:val="002F08CC"/>
    <w:rsid w:val="002F09DD"/>
    <w:rsid w:val="002F1E82"/>
    <w:rsid w:val="002F3A03"/>
    <w:rsid w:val="002F3FBA"/>
    <w:rsid w:val="00301699"/>
    <w:rsid w:val="0030213E"/>
    <w:rsid w:val="003026A5"/>
    <w:rsid w:val="00304DCE"/>
    <w:rsid w:val="00304EE1"/>
    <w:rsid w:val="003061F9"/>
    <w:rsid w:val="00307498"/>
    <w:rsid w:val="00310281"/>
    <w:rsid w:val="0031068F"/>
    <w:rsid w:val="003130B2"/>
    <w:rsid w:val="003147EB"/>
    <w:rsid w:val="00316E26"/>
    <w:rsid w:val="003171CB"/>
    <w:rsid w:val="003177B0"/>
    <w:rsid w:val="00317BC2"/>
    <w:rsid w:val="00320BE0"/>
    <w:rsid w:val="00326566"/>
    <w:rsid w:val="00326CBC"/>
    <w:rsid w:val="003318F9"/>
    <w:rsid w:val="00334083"/>
    <w:rsid w:val="0033443C"/>
    <w:rsid w:val="003357B4"/>
    <w:rsid w:val="00336ABB"/>
    <w:rsid w:val="0034173F"/>
    <w:rsid w:val="0034389B"/>
    <w:rsid w:val="00343F08"/>
    <w:rsid w:val="003440A1"/>
    <w:rsid w:val="003440B0"/>
    <w:rsid w:val="0034602E"/>
    <w:rsid w:val="003478D5"/>
    <w:rsid w:val="00350998"/>
    <w:rsid w:val="00354D17"/>
    <w:rsid w:val="00356634"/>
    <w:rsid w:val="003571C8"/>
    <w:rsid w:val="003632CB"/>
    <w:rsid w:val="0036343B"/>
    <w:rsid w:val="00364FD7"/>
    <w:rsid w:val="003674F4"/>
    <w:rsid w:val="00370EE1"/>
    <w:rsid w:val="00371F88"/>
    <w:rsid w:val="00373859"/>
    <w:rsid w:val="0037563B"/>
    <w:rsid w:val="0037786A"/>
    <w:rsid w:val="00380209"/>
    <w:rsid w:val="0038172B"/>
    <w:rsid w:val="00382AB2"/>
    <w:rsid w:val="00382FC1"/>
    <w:rsid w:val="00383106"/>
    <w:rsid w:val="00383DDB"/>
    <w:rsid w:val="00384195"/>
    <w:rsid w:val="003860D7"/>
    <w:rsid w:val="00386D27"/>
    <w:rsid w:val="0038797B"/>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1504"/>
    <w:rsid w:val="003C2387"/>
    <w:rsid w:val="003C34B3"/>
    <w:rsid w:val="003C3AAF"/>
    <w:rsid w:val="003C4F2F"/>
    <w:rsid w:val="003C4F77"/>
    <w:rsid w:val="003C562C"/>
    <w:rsid w:val="003C58C0"/>
    <w:rsid w:val="003C6362"/>
    <w:rsid w:val="003D128A"/>
    <w:rsid w:val="003D40E6"/>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4362"/>
    <w:rsid w:val="003F4594"/>
    <w:rsid w:val="003F5143"/>
    <w:rsid w:val="003F66D7"/>
    <w:rsid w:val="0040177A"/>
    <w:rsid w:val="004021E2"/>
    <w:rsid w:val="00402B67"/>
    <w:rsid w:val="00403438"/>
    <w:rsid w:val="004040E4"/>
    <w:rsid w:val="00404573"/>
    <w:rsid w:val="00404C41"/>
    <w:rsid w:val="0040676F"/>
    <w:rsid w:val="00412442"/>
    <w:rsid w:val="00416AFB"/>
    <w:rsid w:val="004217B9"/>
    <w:rsid w:val="0042219D"/>
    <w:rsid w:val="004238B0"/>
    <w:rsid w:val="004251CD"/>
    <w:rsid w:val="0042747C"/>
    <w:rsid w:val="00430B01"/>
    <w:rsid w:val="00430B13"/>
    <w:rsid w:val="00431304"/>
    <w:rsid w:val="004337CD"/>
    <w:rsid w:val="00435D8E"/>
    <w:rsid w:val="00436390"/>
    <w:rsid w:val="00436B53"/>
    <w:rsid w:val="004371DE"/>
    <w:rsid w:val="004419D3"/>
    <w:rsid w:val="00441D9B"/>
    <w:rsid w:val="004435BB"/>
    <w:rsid w:val="00443AFB"/>
    <w:rsid w:val="00445E13"/>
    <w:rsid w:val="00446484"/>
    <w:rsid w:val="004539A7"/>
    <w:rsid w:val="00454094"/>
    <w:rsid w:val="00455F4B"/>
    <w:rsid w:val="004561DF"/>
    <w:rsid w:val="0045768D"/>
    <w:rsid w:val="00460446"/>
    <w:rsid w:val="004620EF"/>
    <w:rsid w:val="0046290A"/>
    <w:rsid w:val="00466985"/>
    <w:rsid w:val="00466B58"/>
    <w:rsid w:val="00470A4A"/>
    <w:rsid w:val="004715C3"/>
    <w:rsid w:val="0047376F"/>
    <w:rsid w:val="00475E95"/>
    <w:rsid w:val="0047742B"/>
    <w:rsid w:val="00482BA1"/>
    <w:rsid w:val="00482FDF"/>
    <w:rsid w:val="004831E1"/>
    <w:rsid w:val="004843DE"/>
    <w:rsid w:val="00485E75"/>
    <w:rsid w:val="004879EF"/>
    <w:rsid w:val="00491F94"/>
    <w:rsid w:val="00493071"/>
    <w:rsid w:val="00494F3A"/>
    <w:rsid w:val="00495F25"/>
    <w:rsid w:val="004967B4"/>
    <w:rsid w:val="004A17A0"/>
    <w:rsid w:val="004A28CB"/>
    <w:rsid w:val="004A2F7F"/>
    <w:rsid w:val="004A440E"/>
    <w:rsid w:val="004A698C"/>
    <w:rsid w:val="004A74A6"/>
    <w:rsid w:val="004B113A"/>
    <w:rsid w:val="004B2508"/>
    <w:rsid w:val="004B541D"/>
    <w:rsid w:val="004B57DD"/>
    <w:rsid w:val="004B7FC0"/>
    <w:rsid w:val="004C0F58"/>
    <w:rsid w:val="004C1C5A"/>
    <w:rsid w:val="004C2494"/>
    <w:rsid w:val="004C3506"/>
    <w:rsid w:val="004C5016"/>
    <w:rsid w:val="004C6837"/>
    <w:rsid w:val="004C6ABE"/>
    <w:rsid w:val="004C6F51"/>
    <w:rsid w:val="004D2D73"/>
    <w:rsid w:val="004D55DF"/>
    <w:rsid w:val="004D629A"/>
    <w:rsid w:val="004D6948"/>
    <w:rsid w:val="004E2455"/>
    <w:rsid w:val="004E3B28"/>
    <w:rsid w:val="004E4CAE"/>
    <w:rsid w:val="004E526A"/>
    <w:rsid w:val="004E62E0"/>
    <w:rsid w:val="004F2D67"/>
    <w:rsid w:val="004F58A0"/>
    <w:rsid w:val="004F5DD1"/>
    <w:rsid w:val="004F6FC4"/>
    <w:rsid w:val="004F7A0E"/>
    <w:rsid w:val="0050249D"/>
    <w:rsid w:val="00504CB8"/>
    <w:rsid w:val="00504E63"/>
    <w:rsid w:val="00505120"/>
    <w:rsid w:val="00505D9D"/>
    <w:rsid w:val="00506585"/>
    <w:rsid w:val="005077BB"/>
    <w:rsid w:val="00507CF9"/>
    <w:rsid w:val="00514256"/>
    <w:rsid w:val="005157B3"/>
    <w:rsid w:val="0052027F"/>
    <w:rsid w:val="005205FA"/>
    <w:rsid w:val="0052116E"/>
    <w:rsid w:val="00521B17"/>
    <w:rsid w:val="0052578A"/>
    <w:rsid w:val="00526AEB"/>
    <w:rsid w:val="00527491"/>
    <w:rsid w:val="005278D3"/>
    <w:rsid w:val="00527C2A"/>
    <w:rsid w:val="00530CBD"/>
    <w:rsid w:val="005332D4"/>
    <w:rsid w:val="005346F8"/>
    <w:rsid w:val="00536830"/>
    <w:rsid w:val="00537AE1"/>
    <w:rsid w:val="00537B35"/>
    <w:rsid w:val="0054075A"/>
    <w:rsid w:val="0054399C"/>
    <w:rsid w:val="005440A8"/>
    <w:rsid w:val="00545D19"/>
    <w:rsid w:val="00546F44"/>
    <w:rsid w:val="005523AB"/>
    <w:rsid w:val="005574EF"/>
    <w:rsid w:val="0056087B"/>
    <w:rsid w:val="0056107D"/>
    <w:rsid w:val="00564D13"/>
    <w:rsid w:val="00565676"/>
    <w:rsid w:val="00565859"/>
    <w:rsid w:val="00566D1C"/>
    <w:rsid w:val="005676AC"/>
    <w:rsid w:val="0057100B"/>
    <w:rsid w:val="00572E9A"/>
    <w:rsid w:val="00573CBE"/>
    <w:rsid w:val="005752F2"/>
    <w:rsid w:val="005754FA"/>
    <w:rsid w:val="00575D19"/>
    <w:rsid w:val="0057687F"/>
    <w:rsid w:val="00577525"/>
    <w:rsid w:val="0057764D"/>
    <w:rsid w:val="005806E7"/>
    <w:rsid w:val="00581B2F"/>
    <w:rsid w:val="00583F33"/>
    <w:rsid w:val="00585477"/>
    <w:rsid w:val="00586551"/>
    <w:rsid w:val="00591615"/>
    <w:rsid w:val="0059471A"/>
    <w:rsid w:val="00595F94"/>
    <w:rsid w:val="00596561"/>
    <w:rsid w:val="0059683F"/>
    <w:rsid w:val="005A276F"/>
    <w:rsid w:val="005A2D12"/>
    <w:rsid w:val="005A70B9"/>
    <w:rsid w:val="005A7679"/>
    <w:rsid w:val="005A7D09"/>
    <w:rsid w:val="005B1211"/>
    <w:rsid w:val="005B3AE5"/>
    <w:rsid w:val="005B5F54"/>
    <w:rsid w:val="005C129F"/>
    <w:rsid w:val="005C2694"/>
    <w:rsid w:val="005C2D3C"/>
    <w:rsid w:val="005C4A12"/>
    <w:rsid w:val="005D17BC"/>
    <w:rsid w:val="005D577A"/>
    <w:rsid w:val="005D609F"/>
    <w:rsid w:val="005D6D53"/>
    <w:rsid w:val="005E0513"/>
    <w:rsid w:val="005E185C"/>
    <w:rsid w:val="005E1D72"/>
    <w:rsid w:val="005E1E38"/>
    <w:rsid w:val="005E4E90"/>
    <w:rsid w:val="005E4F22"/>
    <w:rsid w:val="005E5A12"/>
    <w:rsid w:val="005E6EE8"/>
    <w:rsid w:val="005E7A08"/>
    <w:rsid w:val="005F0AE9"/>
    <w:rsid w:val="005F0E28"/>
    <w:rsid w:val="005F3D0F"/>
    <w:rsid w:val="005F3DED"/>
    <w:rsid w:val="005F3E77"/>
    <w:rsid w:val="006026AD"/>
    <w:rsid w:val="006026D3"/>
    <w:rsid w:val="00603599"/>
    <w:rsid w:val="00606501"/>
    <w:rsid w:val="00607692"/>
    <w:rsid w:val="00607F26"/>
    <w:rsid w:val="00610228"/>
    <w:rsid w:val="00611894"/>
    <w:rsid w:val="006123DD"/>
    <w:rsid w:val="00613F91"/>
    <w:rsid w:val="006164BE"/>
    <w:rsid w:val="00622359"/>
    <w:rsid w:val="00623224"/>
    <w:rsid w:val="00623AB1"/>
    <w:rsid w:val="006249CD"/>
    <w:rsid w:val="00624FD7"/>
    <w:rsid w:val="00625004"/>
    <w:rsid w:val="006252EE"/>
    <w:rsid w:val="00630697"/>
    <w:rsid w:val="00630BD7"/>
    <w:rsid w:val="00631E71"/>
    <w:rsid w:val="006336FF"/>
    <w:rsid w:val="0063778D"/>
    <w:rsid w:val="00637804"/>
    <w:rsid w:val="00640746"/>
    <w:rsid w:val="00640B48"/>
    <w:rsid w:val="006411FB"/>
    <w:rsid w:val="006412E6"/>
    <w:rsid w:val="0064180F"/>
    <w:rsid w:val="00641ABB"/>
    <w:rsid w:val="00641AF4"/>
    <w:rsid w:val="00641B61"/>
    <w:rsid w:val="0064446A"/>
    <w:rsid w:val="006451A7"/>
    <w:rsid w:val="00650214"/>
    <w:rsid w:val="0065222A"/>
    <w:rsid w:val="00653852"/>
    <w:rsid w:val="006571BF"/>
    <w:rsid w:val="00661762"/>
    <w:rsid w:val="006639CE"/>
    <w:rsid w:val="00663A90"/>
    <w:rsid w:val="0066434C"/>
    <w:rsid w:val="0067053F"/>
    <w:rsid w:val="0067205D"/>
    <w:rsid w:val="006720C4"/>
    <w:rsid w:val="006722BF"/>
    <w:rsid w:val="006723E2"/>
    <w:rsid w:val="00672704"/>
    <w:rsid w:val="00676264"/>
    <w:rsid w:val="00680B4B"/>
    <w:rsid w:val="00683167"/>
    <w:rsid w:val="00685768"/>
    <w:rsid w:val="0068642A"/>
    <w:rsid w:val="00686640"/>
    <w:rsid w:val="00690817"/>
    <w:rsid w:val="0069099C"/>
    <w:rsid w:val="006945AD"/>
    <w:rsid w:val="00695F9A"/>
    <w:rsid w:val="00696A51"/>
    <w:rsid w:val="006A0BF5"/>
    <w:rsid w:val="006A0CAE"/>
    <w:rsid w:val="006A12B2"/>
    <w:rsid w:val="006A548A"/>
    <w:rsid w:val="006B6CB0"/>
    <w:rsid w:val="006C0A75"/>
    <w:rsid w:val="006C490B"/>
    <w:rsid w:val="006D0D71"/>
    <w:rsid w:val="006D1FA9"/>
    <w:rsid w:val="006D3C1B"/>
    <w:rsid w:val="006D3D80"/>
    <w:rsid w:val="006D53A8"/>
    <w:rsid w:val="006D58B4"/>
    <w:rsid w:val="006D632D"/>
    <w:rsid w:val="006D6ECB"/>
    <w:rsid w:val="006D6FD9"/>
    <w:rsid w:val="006D7439"/>
    <w:rsid w:val="006D7E3A"/>
    <w:rsid w:val="006E2860"/>
    <w:rsid w:val="006E420A"/>
    <w:rsid w:val="006E4263"/>
    <w:rsid w:val="006F227C"/>
    <w:rsid w:val="006F2285"/>
    <w:rsid w:val="006F43B6"/>
    <w:rsid w:val="006F55B9"/>
    <w:rsid w:val="006F5AB0"/>
    <w:rsid w:val="006F5FAB"/>
    <w:rsid w:val="006F745E"/>
    <w:rsid w:val="00701291"/>
    <w:rsid w:val="007016AF"/>
    <w:rsid w:val="00701962"/>
    <w:rsid w:val="007028FD"/>
    <w:rsid w:val="00703B68"/>
    <w:rsid w:val="0070441C"/>
    <w:rsid w:val="0071080D"/>
    <w:rsid w:val="0071254C"/>
    <w:rsid w:val="00713263"/>
    <w:rsid w:val="00716E8D"/>
    <w:rsid w:val="007206B1"/>
    <w:rsid w:val="007220A7"/>
    <w:rsid w:val="0073222B"/>
    <w:rsid w:val="00732602"/>
    <w:rsid w:val="007360D2"/>
    <w:rsid w:val="00736A16"/>
    <w:rsid w:val="007434F6"/>
    <w:rsid w:val="007442C2"/>
    <w:rsid w:val="00745FE8"/>
    <w:rsid w:val="0074742C"/>
    <w:rsid w:val="00757C01"/>
    <w:rsid w:val="007625BD"/>
    <w:rsid w:val="00762FAD"/>
    <w:rsid w:val="00765289"/>
    <w:rsid w:val="00765BDE"/>
    <w:rsid w:val="00766C0A"/>
    <w:rsid w:val="00766CFF"/>
    <w:rsid w:val="00767632"/>
    <w:rsid w:val="00770F46"/>
    <w:rsid w:val="00775C08"/>
    <w:rsid w:val="007774B9"/>
    <w:rsid w:val="00780E7D"/>
    <w:rsid w:val="00783271"/>
    <w:rsid w:val="00786F22"/>
    <w:rsid w:val="00791526"/>
    <w:rsid w:val="00792BE9"/>
    <w:rsid w:val="00792CC9"/>
    <w:rsid w:val="0079427B"/>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0752"/>
    <w:rsid w:val="007C17EE"/>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F42FE"/>
    <w:rsid w:val="007F5D4C"/>
    <w:rsid w:val="00801FA1"/>
    <w:rsid w:val="00802290"/>
    <w:rsid w:val="00804BD2"/>
    <w:rsid w:val="00805D53"/>
    <w:rsid w:val="00806C30"/>
    <w:rsid w:val="00807AD7"/>
    <w:rsid w:val="00810869"/>
    <w:rsid w:val="00812838"/>
    <w:rsid w:val="00814923"/>
    <w:rsid w:val="008179FD"/>
    <w:rsid w:val="00822915"/>
    <w:rsid w:val="00825CDD"/>
    <w:rsid w:val="00826064"/>
    <w:rsid w:val="008270E7"/>
    <w:rsid w:val="0082775A"/>
    <w:rsid w:val="00831A65"/>
    <w:rsid w:val="008323E3"/>
    <w:rsid w:val="00833707"/>
    <w:rsid w:val="00833A8D"/>
    <w:rsid w:val="00834451"/>
    <w:rsid w:val="00835339"/>
    <w:rsid w:val="0084092E"/>
    <w:rsid w:val="00842273"/>
    <w:rsid w:val="00842AB4"/>
    <w:rsid w:val="00843A51"/>
    <w:rsid w:val="00844EA1"/>
    <w:rsid w:val="00845E57"/>
    <w:rsid w:val="00846476"/>
    <w:rsid w:val="008477B2"/>
    <w:rsid w:val="00850FC7"/>
    <w:rsid w:val="008541B3"/>
    <w:rsid w:val="00856A4B"/>
    <w:rsid w:val="008579F1"/>
    <w:rsid w:val="008606DF"/>
    <w:rsid w:val="00861B4E"/>
    <w:rsid w:val="008631D8"/>
    <w:rsid w:val="00865A88"/>
    <w:rsid w:val="008671FE"/>
    <w:rsid w:val="00870480"/>
    <w:rsid w:val="008711A1"/>
    <w:rsid w:val="00872717"/>
    <w:rsid w:val="00875AC8"/>
    <w:rsid w:val="00876143"/>
    <w:rsid w:val="008765B5"/>
    <w:rsid w:val="00880CF4"/>
    <w:rsid w:val="008817A4"/>
    <w:rsid w:val="008859ED"/>
    <w:rsid w:val="00885ADE"/>
    <w:rsid w:val="00887FAF"/>
    <w:rsid w:val="0089223D"/>
    <w:rsid w:val="00892D17"/>
    <w:rsid w:val="00893A1B"/>
    <w:rsid w:val="00895ED2"/>
    <w:rsid w:val="00897214"/>
    <w:rsid w:val="008974B9"/>
    <w:rsid w:val="008A1469"/>
    <w:rsid w:val="008A1BC5"/>
    <w:rsid w:val="008A28C1"/>
    <w:rsid w:val="008A2AA6"/>
    <w:rsid w:val="008A35B6"/>
    <w:rsid w:val="008B4329"/>
    <w:rsid w:val="008B65B7"/>
    <w:rsid w:val="008B6AB5"/>
    <w:rsid w:val="008C245C"/>
    <w:rsid w:val="008C34FA"/>
    <w:rsid w:val="008C3B9E"/>
    <w:rsid w:val="008C3CC0"/>
    <w:rsid w:val="008D1273"/>
    <w:rsid w:val="008D47A9"/>
    <w:rsid w:val="008D4983"/>
    <w:rsid w:val="008D654E"/>
    <w:rsid w:val="008D6754"/>
    <w:rsid w:val="008E1977"/>
    <w:rsid w:val="008E2EE5"/>
    <w:rsid w:val="008E6376"/>
    <w:rsid w:val="008E65FA"/>
    <w:rsid w:val="008E7590"/>
    <w:rsid w:val="008E7791"/>
    <w:rsid w:val="008E7934"/>
    <w:rsid w:val="008E7D0C"/>
    <w:rsid w:val="008F23BF"/>
    <w:rsid w:val="008F2535"/>
    <w:rsid w:val="008F3574"/>
    <w:rsid w:val="008F6A2D"/>
    <w:rsid w:val="008F75E4"/>
    <w:rsid w:val="00901C15"/>
    <w:rsid w:val="00901F9D"/>
    <w:rsid w:val="009037B6"/>
    <w:rsid w:val="00903B9A"/>
    <w:rsid w:val="00906454"/>
    <w:rsid w:val="009070F2"/>
    <w:rsid w:val="00907396"/>
    <w:rsid w:val="00911D4D"/>
    <w:rsid w:val="00915513"/>
    <w:rsid w:val="00915F1E"/>
    <w:rsid w:val="00916307"/>
    <w:rsid w:val="009166CD"/>
    <w:rsid w:val="009212A1"/>
    <w:rsid w:val="009229D3"/>
    <w:rsid w:val="00922BCC"/>
    <w:rsid w:val="00925737"/>
    <w:rsid w:val="00927672"/>
    <w:rsid w:val="00931306"/>
    <w:rsid w:val="0093387A"/>
    <w:rsid w:val="00933ED6"/>
    <w:rsid w:val="00935B62"/>
    <w:rsid w:val="009360A8"/>
    <w:rsid w:val="009363AB"/>
    <w:rsid w:val="009367F9"/>
    <w:rsid w:val="0094088D"/>
    <w:rsid w:val="00940DD0"/>
    <w:rsid w:val="009444CC"/>
    <w:rsid w:val="00944544"/>
    <w:rsid w:val="00946650"/>
    <w:rsid w:val="00946E8F"/>
    <w:rsid w:val="0094717E"/>
    <w:rsid w:val="00950592"/>
    <w:rsid w:val="009541FA"/>
    <w:rsid w:val="00955071"/>
    <w:rsid w:val="0096033B"/>
    <w:rsid w:val="00962B58"/>
    <w:rsid w:val="00963745"/>
    <w:rsid w:val="00964271"/>
    <w:rsid w:val="0096583D"/>
    <w:rsid w:val="00966D6D"/>
    <w:rsid w:val="00967FDB"/>
    <w:rsid w:val="009718E7"/>
    <w:rsid w:val="00972C58"/>
    <w:rsid w:val="00975093"/>
    <w:rsid w:val="00976E40"/>
    <w:rsid w:val="00980B47"/>
    <w:rsid w:val="009816EE"/>
    <w:rsid w:val="00983EA1"/>
    <w:rsid w:val="009842FC"/>
    <w:rsid w:val="00984528"/>
    <w:rsid w:val="0098588F"/>
    <w:rsid w:val="00985A31"/>
    <w:rsid w:val="00992D62"/>
    <w:rsid w:val="00994049"/>
    <w:rsid w:val="009966CE"/>
    <w:rsid w:val="009A151C"/>
    <w:rsid w:val="009A20DC"/>
    <w:rsid w:val="009A4BC9"/>
    <w:rsid w:val="009A6CAD"/>
    <w:rsid w:val="009B2AFC"/>
    <w:rsid w:val="009C04F5"/>
    <w:rsid w:val="009C6B46"/>
    <w:rsid w:val="009C760B"/>
    <w:rsid w:val="009C7905"/>
    <w:rsid w:val="009D1BA0"/>
    <w:rsid w:val="009D1ED0"/>
    <w:rsid w:val="009D2FD1"/>
    <w:rsid w:val="009D5C0B"/>
    <w:rsid w:val="009E097E"/>
    <w:rsid w:val="009E0DF0"/>
    <w:rsid w:val="009E3000"/>
    <w:rsid w:val="009E4EDE"/>
    <w:rsid w:val="009E7160"/>
    <w:rsid w:val="009E75FC"/>
    <w:rsid w:val="009F0827"/>
    <w:rsid w:val="009F1F54"/>
    <w:rsid w:val="009F4260"/>
    <w:rsid w:val="009F4FC4"/>
    <w:rsid w:val="009F52DC"/>
    <w:rsid w:val="009F6BA1"/>
    <w:rsid w:val="00A01032"/>
    <w:rsid w:val="00A0152B"/>
    <w:rsid w:val="00A01DA3"/>
    <w:rsid w:val="00A02F5E"/>
    <w:rsid w:val="00A0338C"/>
    <w:rsid w:val="00A03668"/>
    <w:rsid w:val="00A04C02"/>
    <w:rsid w:val="00A04CF9"/>
    <w:rsid w:val="00A05E34"/>
    <w:rsid w:val="00A1239D"/>
    <w:rsid w:val="00A12CDC"/>
    <w:rsid w:val="00A14D35"/>
    <w:rsid w:val="00A15979"/>
    <w:rsid w:val="00A17E86"/>
    <w:rsid w:val="00A20A27"/>
    <w:rsid w:val="00A20FD9"/>
    <w:rsid w:val="00A232E1"/>
    <w:rsid w:val="00A23838"/>
    <w:rsid w:val="00A26CC8"/>
    <w:rsid w:val="00A2792D"/>
    <w:rsid w:val="00A3026D"/>
    <w:rsid w:val="00A31669"/>
    <w:rsid w:val="00A31D6E"/>
    <w:rsid w:val="00A332BB"/>
    <w:rsid w:val="00A339F3"/>
    <w:rsid w:val="00A342B3"/>
    <w:rsid w:val="00A34534"/>
    <w:rsid w:val="00A350AB"/>
    <w:rsid w:val="00A355A7"/>
    <w:rsid w:val="00A4007E"/>
    <w:rsid w:val="00A40D91"/>
    <w:rsid w:val="00A43AD9"/>
    <w:rsid w:val="00A463A9"/>
    <w:rsid w:val="00A51E7E"/>
    <w:rsid w:val="00A52F25"/>
    <w:rsid w:val="00A54FC7"/>
    <w:rsid w:val="00A55DCA"/>
    <w:rsid w:val="00A57620"/>
    <w:rsid w:val="00A62A3D"/>
    <w:rsid w:val="00A63F7D"/>
    <w:rsid w:val="00A6573F"/>
    <w:rsid w:val="00A661A6"/>
    <w:rsid w:val="00A668F2"/>
    <w:rsid w:val="00A67B84"/>
    <w:rsid w:val="00A71D05"/>
    <w:rsid w:val="00A75268"/>
    <w:rsid w:val="00A766DA"/>
    <w:rsid w:val="00A7689E"/>
    <w:rsid w:val="00A7760D"/>
    <w:rsid w:val="00A81B96"/>
    <w:rsid w:val="00A84019"/>
    <w:rsid w:val="00A85924"/>
    <w:rsid w:val="00A85AB1"/>
    <w:rsid w:val="00A860F5"/>
    <w:rsid w:val="00A86205"/>
    <w:rsid w:val="00A90BE2"/>
    <w:rsid w:val="00A939E3"/>
    <w:rsid w:val="00A9449E"/>
    <w:rsid w:val="00A96858"/>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474"/>
    <w:rsid w:val="00AD1120"/>
    <w:rsid w:val="00AD208C"/>
    <w:rsid w:val="00AD5560"/>
    <w:rsid w:val="00AD6706"/>
    <w:rsid w:val="00AD670D"/>
    <w:rsid w:val="00AE0079"/>
    <w:rsid w:val="00AE1398"/>
    <w:rsid w:val="00AE1553"/>
    <w:rsid w:val="00AE425B"/>
    <w:rsid w:val="00AE510C"/>
    <w:rsid w:val="00AF793D"/>
    <w:rsid w:val="00B016AB"/>
    <w:rsid w:val="00B01C62"/>
    <w:rsid w:val="00B01D72"/>
    <w:rsid w:val="00B057C9"/>
    <w:rsid w:val="00B05D6B"/>
    <w:rsid w:val="00B06D8F"/>
    <w:rsid w:val="00B1067A"/>
    <w:rsid w:val="00B11F8B"/>
    <w:rsid w:val="00B12B4D"/>
    <w:rsid w:val="00B152E8"/>
    <w:rsid w:val="00B172FA"/>
    <w:rsid w:val="00B2035B"/>
    <w:rsid w:val="00B210FF"/>
    <w:rsid w:val="00B22926"/>
    <w:rsid w:val="00B23943"/>
    <w:rsid w:val="00B26E37"/>
    <w:rsid w:val="00B33BD9"/>
    <w:rsid w:val="00B3432F"/>
    <w:rsid w:val="00B376E4"/>
    <w:rsid w:val="00B37DE9"/>
    <w:rsid w:val="00B40BA2"/>
    <w:rsid w:val="00B414EE"/>
    <w:rsid w:val="00B41D40"/>
    <w:rsid w:val="00B43063"/>
    <w:rsid w:val="00B45A4E"/>
    <w:rsid w:val="00B470D2"/>
    <w:rsid w:val="00B4734C"/>
    <w:rsid w:val="00B47DD7"/>
    <w:rsid w:val="00B51206"/>
    <w:rsid w:val="00B54EB5"/>
    <w:rsid w:val="00B553CC"/>
    <w:rsid w:val="00B55679"/>
    <w:rsid w:val="00B60411"/>
    <w:rsid w:val="00B60FE2"/>
    <w:rsid w:val="00B61396"/>
    <w:rsid w:val="00B632B0"/>
    <w:rsid w:val="00B657B5"/>
    <w:rsid w:val="00B65913"/>
    <w:rsid w:val="00B6759F"/>
    <w:rsid w:val="00B74CDA"/>
    <w:rsid w:val="00B801F9"/>
    <w:rsid w:val="00B823A6"/>
    <w:rsid w:val="00B82EDA"/>
    <w:rsid w:val="00B84CCF"/>
    <w:rsid w:val="00B86994"/>
    <w:rsid w:val="00B86B87"/>
    <w:rsid w:val="00B91CB1"/>
    <w:rsid w:val="00B9284B"/>
    <w:rsid w:val="00B951D0"/>
    <w:rsid w:val="00B95966"/>
    <w:rsid w:val="00BA18F5"/>
    <w:rsid w:val="00BA1BE8"/>
    <w:rsid w:val="00BA1FFC"/>
    <w:rsid w:val="00BA373D"/>
    <w:rsid w:val="00BA4454"/>
    <w:rsid w:val="00BA46EA"/>
    <w:rsid w:val="00BA765E"/>
    <w:rsid w:val="00BB073B"/>
    <w:rsid w:val="00BB09A6"/>
    <w:rsid w:val="00BB10AA"/>
    <w:rsid w:val="00BB16E4"/>
    <w:rsid w:val="00BB179B"/>
    <w:rsid w:val="00BB17C0"/>
    <w:rsid w:val="00BB2202"/>
    <w:rsid w:val="00BB28E1"/>
    <w:rsid w:val="00BC0549"/>
    <w:rsid w:val="00BC0A5E"/>
    <w:rsid w:val="00BC12C6"/>
    <w:rsid w:val="00BC27B3"/>
    <w:rsid w:val="00BC29DC"/>
    <w:rsid w:val="00BC2D99"/>
    <w:rsid w:val="00BC47A9"/>
    <w:rsid w:val="00BC598F"/>
    <w:rsid w:val="00BC7E3B"/>
    <w:rsid w:val="00BD189F"/>
    <w:rsid w:val="00BD2CCB"/>
    <w:rsid w:val="00BD44ED"/>
    <w:rsid w:val="00BD4976"/>
    <w:rsid w:val="00BD707E"/>
    <w:rsid w:val="00BD7696"/>
    <w:rsid w:val="00BE0B57"/>
    <w:rsid w:val="00BE18E3"/>
    <w:rsid w:val="00BE3079"/>
    <w:rsid w:val="00BE64E5"/>
    <w:rsid w:val="00BF30B0"/>
    <w:rsid w:val="00BF471C"/>
    <w:rsid w:val="00BF4C40"/>
    <w:rsid w:val="00BF7DF4"/>
    <w:rsid w:val="00C049D6"/>
    <w:rsid w:val="00C04B33"/>
    <w:rsid w:val="00C05209"/>
    <w:rsid w:val="00C063DE"/>
    <w:rsid w:val="00C06832"/>
    <w:rsid w:val="00C07635"/>
    <w:rsid w:val="00C105D0"/>
    <w:rsid w:val="00C13671"/>
    <w:rsid w:val="00C137AF"/>
    <w:rsid w:val="00C14EEB"/>
    <w:rsid w:val="00C17D52"/>
    <w:rsid w:val="00C22620"/>
    <w:rsid w:val="00C2488A"/>
    <w:rsid w:val="00C279D3"/>
    <w:rsid w:val="00C27DA3"/>
    <w:rsid w:val="00C27F27"/>
    <w:rsid w:val="00C312A7"/>
    <w:rsid w:val="00C32666"/>
    <w:rsid w:val="00C33CB1"/>
    <w:rsid w:val="00C3471B"/>
    <w:rsid w:val="00C3769A"/>
    <w:rsid w:val="00C403C6"/>
    <w:rsid w:val="00C40BB8"/>
    <w:rsid w:val="00C41677"/>
    <w:rsid w:val="00C43296"/>
    <w:rsid w:val="00C4383E"/>
    <w:rsid w:val="00C43CD8"/>
    <w:rsid w:val="00C46741"/>
    <w:rsid w:val="00C479BB"/>
    <w:rsid w:val="00C52DBC"/>
    <w:rsid w:val="00C53203"/>
    <w:rsid w:val="00C570ED"/>
    <w:rsid w:val="00C575CF"/>
    <w:rsid w:val="00C61960"/>
    <w:rsid w:val="00C63B00"/>
    <w:rsid w:val="00C6435E"/>
    <w:rsid w:val="00C67007"/>
    <w:rsid w:val="00C70101"/>
    <w:rsid w:val="00C71B8C"/>
    <w:rsid w:val="00C71C10"/>
    <w:rsid w:val="00C80900"/>
    <w:rsid w:val="00C82EE4"/>
    <w:rsid w:val="00C838FD"/>
    <w:rsid w:val="00C85A60"/>
    <w:rsid w:val="00C91A96"/>
    <w:rsid w:val="00C94EC6"/>
    <w:rsid w:val="00C96430"/>
    <w:rsid w:val="00C973A8"/>
    <w:rsid w:val="00C97BB8"/>
    <w:rsid w:val="00CA1FF9"/>
    <w:rsid w:val="00CA48F2"/>
    <w:rsid w:val="00CA4A54"/>
    <w:rsid w:val="00CA5D9E"/>
    <w:rsid w:val="00CA72DA"/>
    <w:rsid w:val="00CA7D85"/>
    <w:rsid w:val="00CB03B7"/>
    <w:rsid w:val="00CB0564"/>
    <w:rsid w:val="00CB0590"/>
    <w:rsid w:val="00CB0D61"/>
    <w:rsid w:val="00CB2946"/>
    <w:rsid w:val="00CB2A20"/>
    <w:rsid w:val="00CB3887"/>
    <w:rsid w:val="00CB3D0E"/>
    <w:rsid w:val="00CB3E52"/>
    <w:rsid w:val="00CB4F87"/>
    <w:rsid w:val="00CB5140"/>
    <w:rsid w:val="00CB6479"/>
    <w:rsid w:val="00CB6DF7"/>
    <w:rsid w:val="00CB6DFD"/>
    <w:rsid w:val="00CC1C34"/>
    <w:rsid w:val="00CC2F69"/>
    <w:rsid w:val="00CC3A28"/>
    <w:rsid w:val="00CC50E5"/>
    <w:rsid w:val="00CC5924"/>
    <w:rsid w:val="00CD11D4"/>
    <w:rsid w:val="00CD1C8D"/>
    <w:rsid w:val="00CD2558"/>
    <w:rsid w:val="00CD2E0B"/>
    <w:rsid w:val="00CD30AA"/>
    <w:rsid w:val="00CD3541"/>
    <w:rsid w:val="00CD4A98"/>
    <w:rsid w:val="00CD5009"/>
    <w:rsid w:val="00CD5C84"/>
    <w:rsid w:val="00CD6557"/>
    <w:rsid w:val="00CD663C"/>
    <w:rsid w:val="00CE2969"/>
    <w:rsid w:val="00CE4B79"/>
    <w:rsid w:val="00CE56A5"/>
    <w:rsid w:val="00CE57D5"/>
    <w:rsid w:val="00CE61C0"/>
    <w:rsid w:val="00CF251F"/>
    <w:rsid w:val="00CF4FC3"/>
    <w:rsid w:val="00CF5522"/>
    <w:rsid w:val="00CF6B8E"/>
    <w:rsid w:val="00CF7265"/>
    <w:rsid w:val="00D0065E"/>
    <w:rsid w:val="00D01984"/>
    <w:rsid w:val="00D0221D"/>
    <w:rsid w:val="00D0545A"/>
    <w:rsid w:val="00D13D42"/>
    <w:rsid w:val="00D20E43"/>
    <w:rsid w:val="00D21659"/>
    <w:rsid w:val="00D24AEC"/>
    <w:rsid w:val="00D25307"/>
    <w:rsid w:val="00D2593A"/>
    <w:rsid w:val="00D30E07"/>
    <w:rsid w:val="00D33E90"/>
    <w:rsid w:val="00D34DB1"/>
    <w:rsid w:val="00D35775"/>
    <w:rsid w:val="00D369BC"/>
    <w:rsid w:val="00D453CE"/>
    <w:rsid w:val="00D46489"/>
    <w:rsid w:val="00D47402"/>
    <w:rsid w:val="00D50FEE"/>
    <w:rsid w:val="00D52BAC"/>
    <w:rsid w:val="00D532AA"/>
    <w:rsid w:val="00D53463"/>
    <w:rsid w:val="00D54C45"/>
    <w:rsid w:val="00D55EFB"/>
    <w:rsid w:val="00D56DB1"/>
    <w:rsid w:val="00D57E74"/>
    <w:rsid w:val="00D615B7"/>
    <w:rsid w:val="00D63958"/>
    <w:rsid w:val="00D6482A"/>
    <w:rsid w:val="00D64D30"/>
    <w:rsid w:val="00D66465"/>
    <w:rsid w:val="00D678CA"/>
    <w:rsid w:val="00D67CC5"/>
    <w:rsid w:val="00D71160"/>
    <w:rsid w:val="00D75215"/>
    <w:rsid w:val="00D75F26"/>
    <w:rsid w:val="00D80445"/>
    <w:rsid w:val="00D80C48"/>
    <w:rsid w:val="00D810AC"/>
    <w:rsid w:val="00D82647"/>
    <w:rsid w:val="00D83349"/>
    <w:rsid w:val="00D849E3"/>
    <w:rsid w:val="00D861D0"/>
    <w:rsid w:val="00D86E17"/>
    <w:rsid w:val="00D87C3D"/>
    <w:rsid w:val="00D87FEA"/>
    <w:rsid w:val="00D911E3"/>
    <w:rsid w:val="00D94B33"/>
    <w:rsid w:val="00D9542C"/>
    <w:rsid w:val="00D95F99"/>
    <w:rsid w:val="00DA1628"/>
    <w:rsid w:val="00DA4F8F"/>
    <w:rsid w:val="00DA73CD"/>
    <w:rsid w:val="00DB125B"/>
    <w:rsid w:val="00DB4BDB"/>
    <w:rsid w:val="00DB6743"/>
    <w:rsid w:val="00DB6C09"/>
    <w:rsid w:val="00DC00C3"/>
    <w:rsid w:val="00DC04A6"/>
    <w:rsid w:val="00DC2905"/>
    <w:rsid w:val="00DC40C3"/>
    <w:rsid w:val="00DC58D9"/>
    <w:rsid w:val="00DC777C"/>
    <w:rsid w:val="00DD0297"/>
    <w:rsid w:val="00DD0AC9"/>
    <w:rsid w:val="00DD176F"/>
    <w:rsid w:val="00DD29C2"/>
    <w:rsid w:val="00DD307B"/>
    <w:rsid w:val="00DD37D2"/>
    <w:rsid w:val="00DD4E9D"/>
    <w:rsid w:val="00DD53D4"/>
    <w:rsid w:val="00DD77A8"/>
    <w:rsid w:val="00DE21C2"/>
    <w:rsid w:val="00DE285B"/>
    <w:rsid w:val="00DE51A6"/>
    <w:rsid w:val="00DE521B"/>
    <w:rsid w:val="00DE62AF"/>
    <w:rsid w:val="00DE7EB6"/>
    <w:rsid w:val="00DE7EE2"/>
    <w:rsid w:val="00DF1744"/>
    <w:rsid w:val="00DF2752"/>
    <w:rsid w:val="00DF612E"/>
    <w:rsid w:val="00DF6786"/>
    <w:rsid w:val="00DF6C89"/>
    <w:rsid w:val="00DF7102"/>
    <w:rsid w:val="00E00D1E"/>
    <w:rsid w:val="00E010CB"/>
    <w:rsid w:val="00E01252"/>
    <w:rsid w:val="00E021C3"/>
    <w:rsid w:val="00E027B2"/>
    <w:rsid w:val="00E02B9D"/>
    <w:rsid w:val="00E02C6D"/>
    <w:rsid w:val="00E0411F"/>
    <w:rsid w:val="00E04F4D"/>
    <w:rsid w:val="00E056C3"/>
    <w:rsid w:val="00E0700E"/>
    <w:rsid w:val="00E07503"/>
    <w:rsid w:val="00E07E79"/>
    <w:rsid w:val="00E100BA"/>
    <w:rsid w:val="00E10638"/>
    <w:rsid w:val="00E10F8B"/>
    <w:rsid w:val="00E11E45"/>
    <w:rsid w:val="00E12A42"/>
    <w:rsid w:val="00E21DBD"/>
    <w:rsid w:val="00E2232A"/>
    <w:rsid w:val="00E25227"/>
    <w:rsid w:val="00E256EB"/>
    <w:rsid w:val="00E25928"/>
    <w:rsid w:val="00E25C95"/>
    <w:rsid w:val="00E26B7E"/>
    <w:rsid w:val="00E27CBB"/>
    <w:rsid w:val="00E32EC1"/>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C73"/>
    <w:rsid w:val="00E60A50"/>
    <w:rsid w:val="00E60A86"/>
    <w:rsid w:val="00E6629E"/>
    <w:rsid w:val="00E71E14"/>
    <w:rsid w:val="00E720F4"/>
    <w:rsid w:val="00E731C0"/>
    <w:rsid w:val="00E7352C"/>
    <w:rsid w:val="00E7381E"/>
    <w:rsid w:val="00E7495E"/>
    <w:rsid w:val="00E759A1"/>
    <w:rsid w:val="00E77742"/>
    <w:rsid w:val="00E81598"/>
    <w:rsid w:val="00E903A7"/>
    <w:rsid w:val="00E91046"/>
    <w:rsid w:val="00E94797"/>
    <w:rsid w:val="00E94AE8"/>
    <w:rsid w:val="00E9552E"/>
    <w:rsid w:val="00E95E78"/>
    <w:rsid w:val="00E97D10"/>
    <w:rsid w:val="00EA0D39"/>
    <w:rsid w:val="00EA1287"/>
    <w:rsid w:val="00EA72CE"/>
    <w:rsid w:val="00EB36E1"/>
    <w:rsid w:val="00EB510F"/>
    <w:rsid w:val="00EB7EBD"/>
    <w:rsid w:val="00EC1792"/>
    <w:rsid w:val="00EC4445"/>
    <w:rsid w:val="00EC5A64"/>
    <w:rsid w:val="00EC6F83"/>
    <w:rsid w:val="00EC7B68"/>
    <w:rsid w:val="00EC7C8B"/>
    <w:rsid w:val="00EC7D62"/>
    <w:rsid w:val="00ED1CAF"/>
    <w:rsid w:val="00ED2A3B"/>
    <w:rsid w:val="00ED4595"/>
    <w:rsid w:val="00ED53B8"/>
    <w:rsid w:val="00ED74DA"/>
    <w:rsid w:val="00EE13FB"/>
    <w:rsid w:val="00EE3EB8"/>
    <w:rsid w:val="00EE60C2"/>
    <w:rsid w:val="00EE727C"/>
    <w:rsid w:val="00EE7C4D"/>
    <w:rsid w:val="00EF1A52"/>
    <w:rsid w:val="00EF2D4D"/>
    <w:rsid w:val="00EF44E7"/>
    <w:rsid w:val="00EF5399"/>
    <w:rsid w:val="00EF5952"/>
    <w:rsid w:val="00EF5B31"/>
    <w:rsid w:val="00F02009"/>
    <w:rsid w:val="00F0482F"/>
    <w:rsid w:val="00F05933"/>
    <w:rsid w:val="00F05AD6"/>
    <w:rsid w:val="00F05B74"/>
    <w:rsid w:val="00F05F6D"/>
    <w:rsid w:val="00F07ABE"/>
    <w:rsid w:val="00F10690"/>
    <w:rsid w:val="00F1641E"/>
    <w:rsid w:val="00F17E3F"/>
    <w:rsid w:val="00F20E88"/>
    <w:rsid w:val="00F236B8"/>
    <w:rsid w:val="00F25CDE"/>
    <w:rsid w:val="00F265F7"/>
    <w:rsid w:val="00F276EE"/>
    <w:rsid w:val="00F27836"/>
    <w:rsid w:val="00F311F0"/>
    <w:rsid w:val="00F33C1C"/>
    <w:rsid w:val="00F34E8B"/>
    <w:rsid w:val="00F35AEB"/>
    <w:rsid w:val="00F36E4B"/>
    <w:rsid w:val="00F37225"/>
    <w:rsid w:val="00F37313"/>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D28"/>
    <w:rsid w:val="00F5644B"/>
    <w:rsid w:val="00F5713B"/>
    <w:rsid w:val="00F613A3"/>
    <w:rsid w:val="00F620D7"/>
    <w:rsid w:val="00F63480"/>
    <w:rsid w:val="00F63846"/>
    <w:rsid w:val="00F642B2"/>
    <w:rsid w:val="00F64E25"/>
    <w:rsid w:val="00F6768E"/>
    <w:rsid w:val="00F6773C"/>
    <w:rsid w:val="00F72E79"/>
    <w:rsid w:val="00F76BA0"/>
    <w:rsid w:val="00F7795D"/>
    <w:rsid w:val="00F85426"/>
    <w:rsid w:val="00F855D3"/>
    <w:rsid w:val="00F87209"/>
    <w:rsid w:val="00F87AE6"/>
    <w:rsid w:val="00F90DD2"/>
    <w:rsid w:val="00F92CF2"/>
    <w:rsid w:val="00F9352C"/>
    <w:rsid w:val="00F9401D"/>
    <w:rsid w:val="00FA135C"/>
    <w:rsid w:val="00FA2206"/>
    <w:rsid w:val="00FA30A8"/>
    <w:rsid w:val="00FA5742"/>
    <w:rsid w:val="00FA58D1"/>
    <w:rsid w:val="00FA7A19"/>
    <w:rsid w:val="00FB115C"/>
    <w:rsid w:val="00FB1222"/>
    <w:rsid w:val="00FB5237"/>
    <w:rsid w:val="00FB5A59"/>
    <w:rsid w:val="00FB6BC7"/>
    <w:rsid w:val="00FC0FEE"/>
    <w:rsid w:val="00FC1360"/>
    <w:rsid w:val="00FC2B6E"/>
    <w:rsid w:val="00FC2DAC"/>
    <w:rsid w:val="00FD42AD"/>
    <w:rsid w:val="00FD517D"/>
    <w:rsid w:val="00FD5736"/>
    <w:rsid w:val="00FE0B8A"/>
    <w:rsid w:val="00FE0EE2"/>
    <w:rsid w:val="00FE128D"/>
    <w:rsid w:val="00FE194F"/>
    <w:rsid w:val="00FE234C"/>
    <w:rsid w:val="00FE3BAE"/>
    <w:rsid w:val="00FE51A9"/>
    <w:rsid w:val="00FF3B9E"/>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footnote text" w:uiPriority="99" w:qFormat="1"/>
    <w:lsdException w:name="annotation text" w:uiPriority="99" w:qFormat="1"/>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Cite" w:uiPriority="99"/>
    <w:lsdException w:name="HTML Code" w:uiPriority="99"/>
    <w:lsdException w:name="HTML Preformatted" w:uiPriority="99"/>
    <w:lsdException w:name="annotation subject" w:uiPriority="99" w:qFormat="1"/>
    <w:lsdException w:name="No List" w:uiPriority="99"/>
    <w:lsdException w:name="Table Simple 1"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43063"/>
    <w:pPr>
      <w:autoSpaceDE w:val="0"/>
      <w:autoSpaceDN w:val="0"/>
      <w:jc w:val="both"/>
    </w:pPr>
  </w:style>
  <w:style w:type="paragraph" w:styleId="11">
    <w:name w:val="heading 1"/>
    <w:basedOn w:val="a4"/>
    <w:next w:val="a4"/>
    <w:link w:val="13"/>
    <w:uiPriority w:val="9"/>
    <w:qFormat/>
    <w:rsid w:val="00B43063"/>
    <w:pPr>
      <w:keepNext/>
      <w:pageBreakBefore/>
      <w:jc w:val="right"/>
      <w:outlineLvl w:val="0"/>
    </w:pPr>
    <w:rPr>
      <w:rFonts w:ascii="Arial" w:hAnsi="Arial" w:cs="Arial"/>
      <w:b/>
      <w:bCs/>
      <w:i/>
      <w:iCs/>
      <w:szCs w:val="24"/>
    </w:rPr>
  </w:style>
  <w:style w:type="paragraph" w:styleId="20">
    <w:name w:val="heading 2"/>
    <w:basedOn w:val="a4"/>
    <w:next w:val="a4"/>
    <w:link w:val="21"/>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4"/>
    <w:next w:val="a4"/>
    <w:link w:val="31"/>
    <w:uiPriority w:val="9"/>
    <w:qFormat/>
    <w:rsid w:val="00B43063"/>
    <w:pPr>
      <w:keepNext/>
      <w:spacing w:before="120"/>
      <w:ind w:right="-286"/>
      <w:outlineLvl w:val="2"/>
    </w:pPr>
    <w:rPr>
      <w:rFonts w:ascii="Derby" w:hAnsi="Derby"/>
      <w:sz w:val="44"/>
      <w:szCs w:val="44"/>
    </w:rPr>
  </w:style>
  <w:style w:type="paragraph" w:styleId="40">
    <w:name w:val="heading 4"/>
    <w:basedOn w:val="a4"/>
    <w:next w:val="a4"/>
    <w:link w:val="41"/>
    <w:qFormat/>
    <w:rsid w:val="00B43063"/>
    <w:pPr>
      <w:keepNext/>
      <w:ind w:right="424" w:firstLine="567"/>
      <w:jc w:val="center"/>
      <w:outlineLvl w:val="3"/>
    </w:pPr>
    <w:rPr>
      <w:sz w:val="27"/>
      <w:szCs w:val="27"/>
    </w:rPr>
  </w:style>
  <w:style w:type="paragraph" w:styleId="50">
    <w:name w:val="heading 5"/>
    <w:basedOn w:val="a4"/>
    <w:next w:val="a4"/>
    <w:link w:val="51"/>
    <w:qFormat/>
    <w:rsid w:val="00B43063"/>
    <w:pPr>
      <w:keepNext/>
      <w:jc w:val="center"/>
      <w:outlineLvl w:val="4"/>
    </w:pPr>
    <w:rPr>
      <w:rFonts w:ascii="Arial" w:hAnsi="Arial"/>
      <w:b/>
      <w:bCs/>
      <w:spacing w:val="30"/>
      <w:sz w:val="40"/>
      <w:szCs w:val="40"/>
    </w:rPr>
  </w:style>
  <w:style w:type="paragraph" w:styleId="6">
    <w:name w:val="heading 6"/>
    <w:basedOn w:val="a4"/>
    <w:next w:val="a4"/>
    <w:link w:val="60"/>
    <w:qFormat/>
    <w:rsid w:val="00B43063"/>
    <w:pPr>
      <w:keepNext/>
      <w:spacing w:before="40"/>
      <w:jc w:val="center"/>
      <w:outlineLvl w:val="5"/>
    </w:pPr>
    <w:rPr>
      <w:rFonts w:ascii="Arial" w:hAnsi="Arial"/>
      <w:b/>
      <w:bCs/>
      <w:i/>
      <w:iCs/>
      <w:lang w:val="en-US"/>
    </w:rPr>
  </w:style>
  <w:style w:type="paragraph" w:styleId="7">
    <w:name w:val="heading 7"/>
    <w:basedOn w:val="a4"/>
    <w:next w:val="a4"/>
    <w:link w:val="70"/>
    <w:uiPriority w:val="9"/>
    <w:qFormat/>
    <w:rsid w:val="00B43063"/>
    <w:pPr>
      <w:keepNext/>
      <w:spacing w:line="360" w:lineRule="auto"/>
      <w:outlineLvl w:val="6"/>
    </w:pPr>
    <w:rPr>
      <w:i/>
      <w:iCs/>
      <w:sz w:val="28"/>
      <w:szCs w:val="28"/>
    </w:rPr>
  </w:style>
  <w:style w:type="paragraph" w:styleId="8">
    <w:name w:val="heading 8"/>
    <w:basedOn w:val="a4"/>
    <w:next w:val="a4"/>
    <w:link w:val="80"/>
    <w:uiPriority w:val="9"/>
    <w:qFormat/>
    <w:rsid w:val="00B43063"/>
    <w:pPr>
      <w:keepNext/>
      <w:ind w:firstLine="567"/>
      <w:jc w:val="right"/>
      <w:outlineLvl w:val="7"/>
    </w:pPr>
    <w:rPr>
      <w:rFonts w:ascii="Arial" w:hAnsi="Arial"/>
      <w:b/>
      <w:bCs/>
    </w:rPr>
  </w:style>
  <w:style w:type="paragraph" w:styleId="9">
    <w:name w:val="heading 9"/>
    <w:basedOn w:val="a4"/>
    <w:next w:val="a4"/>
    <w:link w:val="90"/>
    <w:uiPriority w:val="9"/>
    <w:qFormat/>
    <w:rsid w:val="00B43063"/>
    <w:pPr>
      <w:keepNext/>
      <w:ind w:firstLine="709"/>
      <w:outlineLvl w:val="8"/>
    </w:pPr>
    <w:rPr>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1"/>
    <w:uiPriority w:val="9"/>
    <w:qFormat/>
    <w:rsid w:val="00975093"/>
    <w:rPr>
      <w:rFonts w:ascii="Arial" w:hAnsi="Arial" w:cs="Arial"/>
      <w:b/>
      <w:bCs/>
      <w:i/>
      <w:iCs/>
      <w:szCs w:val="24"/>
      <w:lang w:val="ru-RU" w:eastAsia="ru-RU" w:bidi="ar-SA"/>
    </w:rPr>
  </w:style>
  <w:style w:type="character" w:customStyle="1" w:styleId="21">
    <w:name w:val="Заголовок 2 Знак"/>
    <w:link w:val="20"/>
    <w:rsid w:val="00247014"/>
    <w:rPr>
      <w:rFonts w:ascii="Arial" w:hAnsi="Arial" w:cs="Arial"/>
      <w:b/>
      <w:bCs/>
      <w:sz w:val="28"/>
      <w:szCs w:val="28"/>
    </w:rPr>
  </w:style>
  <w:style w:type="character" w:customStyle="1" w:styleId="31">
    <w:name w:val="Заголовок 3 Знак"/>
    <w:aliases w:val="Гузель 3 Знак"/>
    <w:link w:val="30"/>
    <w:uiPriority w:val="9"/>
    <w:rsid w:val="00247014"/>
    <w:rPr>
      <w:rFonts w:ascii="Derby" w:hAnsi="Derby"/>
      <w:sz w:val="44"/>
      <w:szCs w:val="44"/>
    </w:rPr>
  </w:style>
  <w:style w:type="character" w:customStyle="1" w:styleId="41">
    <w:name w:val="Заголовок 4 Знак"/>
    <w:link w:val="40"/>
    <w:rsid w:val="00247014"/>
    <w:rPr>
      <w:sz w:val="27"/>
      <w:szCs w:val="27"/>
    </w:rPr>
  </w:style>
  <w:style w:type="character" w:customStyle="1" w:styleId="51">
    <w:name w:val="Заголовок 5 Знак"/>
    <w:link w:val="50"/>
    <w:rsid w:val="00247014"/>
    <w:rPr>
      <w:rFonts w:ascii="Arial" w:hAnsi="Arial" w:cs="Arial"/>
      <w:b/>
      <w:bCs/>
      <w:spacing w:val="30"/>
      <w:sz w:val="40"/>
      <w:szCs w:val="40"/>
    </w:rPr>
  </w:style>
  <w:style w:type="character" w:customStyle="1" w:styleId="60">
    <w:name w:val="Заголовок 6 Знак"/>
    <w:link w:val="6"/>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4"/>
    <w:next w:val="a4"/>
    <w:rsid w:val="00B43063"/>
    <w:pPr>
      <w:keepNext/>
      <w:ind w:firstLine="709"/>
      <w:jc w:val="center"/>
    </w:pPr>
    <w:rPr>
      <w:sz w:val="28"/>
      <w:szCs w:val="28"/>
    </w:rPr>
  </w:style>
  <w:style w:type="paragraph" w:customStyle="1" w:styleId="22">
    <w:name w:val="заголовок 2"/>
    <w:basedOn w:val="a4"/>
    <w:next w:val="a4"/>
    <w:rsid w:val="00B43063"/>
    <w:pPr>
      <w:keepNext/>
      <w:jc w:val="center"/>
    </w:pPr>
    <w:rPr>
      <w:sz w:val="28"/>
      <w:szCs w:val="28"/>
    </w:rPr>
  </w:style>
  <w:style w:type="paragraph" w:customStyle="1" w:styleId="32">
    <w:name w:val="заголовок 3"/>
    <w:basedOn w:val="a4"/>
    <w:next w:val="a4"/>
    <w:rsid w:val="00B43063"/>
    <w:pPr>
      <w:keepNext/>
    </w:pPr>
    <w:rPr>
      <w:sz w:val="28"/>
      <w:szCs w:val="28"/>
    </w:rPr>
  </w:style>
  <w:style w:type="paragraph" w:customStyle="1" w:styleId="42">
    <w:name w:val="заголовок 4"/>
    <w:basedOn w:val="a4"/>
    <w:next w:val="a4"/>
    <w:rsid w:val="00B43063"/>
    <w:pPr>
      <w:keepNext/>
      <w:spacing w:line="360" w:lineRule="auto"/>
      <w:jc w:val="center"/>
    </w:pPr>
    <w:rPr>
      <w:b/>
      <w:bCs/>
      <w:szCs w:val="24"/>
    </w:rPr>
  </w:style>
  <w:style w:type="paragraph" w:customStyle="1" w:styleId="52">
    <w:name w:val="заголовок 5"/>
    <w:basedOn w:val="a4"/>
    <w:next w:val="a4"/>
    <w:rsid w:val="00B43063"/>
    <w:pPr>
      <w:keepNext/>
      <w:spacing w:line="360" w:lineRule="auto"/>
      <w:jc w:val="center"/>
    </w:pPr>
    <w:rPr>
      <w:i/>
      <w:iCs/>
      <w:szCs w:val="24"/>
    </w:rPr>
  </w:style>
  <w:style w:type="paragraph" w:customStyle="1" w:styleId="61">
    <w:name w:val="заголовок 6"/>
    <w:basedOn w:val="a4"/>
    <w:next w:val="a4"/>
    <w:rsid w:val="00B43063"/>
    <w:pPr>
      <w:keepNext/>
      <w:ind w:firstLine="720"/>
      <w:jc w:val="center"/>
    </w:pPr>
    <w:rPr>
      <w:sz w:val="28"/>
      <w:szCs w:val="28"/>
    </w:rPr>
  </w:style>
  <w:style w:type="paragraph" w:customStyle="1" w:styleId="71">
    <w:name w:val="заголовок 7"/>
    <w:basedOn w:val="a4"/>
    <w:next w:val="a4"/>
    <w:rsid w:val="00B43063"/>
    <w:pPr>
      <w:keepNext/>
      <w:ind w:firstLine="567"/>
    </w:pPr>
    <w:rPr>
      <w:sz w:val="28"/>
      <w:szCs w:val="28"/>
    </w:rPr>
  </w:style>
  <w:style w:type="paragraph" w:customStyle="1" w:styleId="81">
    <w:name w:val="заголовок 8"/>
    <w:basedOn w:val="a4"/>
    <w:next w:val="a4"/>
    <w:rsid w:val="00B43063"/>
    <w:pPr>
      <w:keepNext/>
    </w:pPr>
    <w:rPr>
      <w:sz w:val="28"/>
      <w:szCs w:val="28"/>
    </w:rPr>
  </w:style>
  <w:style w:type="paragraph" w:customStyle="1" w:styleId="91">
    <w:name w:val="заголовок 9"/>
    <w:basedOn w:val="a4"/>
    <w:next w:val="a4"/>
    <w:rsid w:val="00B43063"/>
    <w:pPr>
      <w:keepNext/>
      <w:ind w:firstLine="900"/>
    </w:pPr>
    <w:rPr>
      <w:sz w:val="28"/>
      <w:szCs w:val="28"/>
    </w:rPr>
  </w:style>
  <w:style w:type="character" w:customStyle="1" w:styleId="a8">
    <w:name w:val="Основной шрифт"/>
    <w:rsid w:val="00B43063"/>
  </w:style>
  <w:style w:type="paragraph" w:styleId="a9">
    <w:name w:val="header"/>
    <w:basedOn w:val="a4"/>
    <w:link w:val="aa"/>
    <w:uiPriority w:val="99"/>
    <w:rsid w:val="00B43063"/>
    <w:pPr>
      <w:tabs>
        <w:tab w:val="center" w:pos="4153"/>
        <w:tab w:val="right" w:pos="8306"/>
      </w:tabs>
    </w:pPr>
  </w:style>
  <w:style w:type="character" w:customStyle="1" w:styleId="aa">
    <w:name w:val="Верхний колонтитул Знак"/>
    <w:basedOn w:val="a5"/>
    <w:link w:val="a9"/>
    <w:uiPriority w:val="99"/>
    <w:rsid w:val="00247014"/>
  </w:style>
  <w:style w:type="paragraph" w:styleId="ab">
    <w:name w:val="footer"/>
    <w:basedOn w:val="a4"/>
    <w:link w:val="ac"/>
    <w:uiPriority w:val="99"/>
    <w:rsid w:val="00B43063"/>
    <w:pPr>
      <w:tabs>
        <w:tab w:val="center" w:pos="4153"/>
        <w:tab w:val="right" w:pos="8306"/>
      </w:tabs>
    </w:pPr>
  </w:style>
  <w:style w:type="character" w:customStyle="1" w:styleId="ac">
    <w:name w:val="Нижний колонтитул Знак"/>
    <w:basedOn w:val="a5"/>
    <w:link w:val="ab"/>
    <w:uiPriority w:val="99"/>
    <w:rsid w:val="005C2D3C"/>
  </w:style>
  <w:style w:type="character" w:styleId="ad">
    <w:name w:val="page number"/>
    <w:basedOn w:val="a5"/>
    <w:rsid w:val="00B43063"/>
  </w:style>
  <w:style w:type="paragraph" w:styleId="ae">
    <w:name w:val="Title"/>
    <w:basedOn w:val="a4"/>
    <w:link w:val="af"/>
    <w:qFormat/>
    <w:rsid w:val="00B43063"/>
    <w:pPr>
      <w:spacing w:line="360" w:lineRule="auto"/>
      <w:jc w:val="center"/>
    </w:pPr>
    <w:rPr>
      <w:b/>
      <w:bCs/>
      <w:sz w:val="28"/>
      <w:szCs w:val="28"/>
    </w:rPr>
  </w:style>
  <w:style w:type="character" w:customStyle="1" w:styleId="af">
    <w:name w:val="Название Знак"/>
    <w:link w:val="ae"/>
    <w:rsid w:val="00247014"/>
    <w:rPr>
      <w:b/>
      <w:bCs/>
      <w:sz w:val="28"/>
      <w:szCs w:val="28"/>
    </w:rPr>
  </w:style>
  <w:style w:type="paragraph" w:styleId="af0">
    <w:name w:val="Subtitle"/>
    <w:basedOn w:val="a4"/>
    <w:link w:val="af1"/>
    <w:qFormat/>
    <w:rsid w:val="00B43063"/>
    <w:rPr>
      <w:sz w:val="28"/>
      <w:szCs w:val="28"/>
    </w:rPr>
  </w:style>
  <w:style w:type="paragraph" w:styleId="af2">
    <w:name w:val="Block Text"/>
    <w:basedOn w:val="a4"/>
    <w:rsid w:val="00B43063"/>
    <w:pPr>
      <w:spacing w:line="360" w:lineRule="auto"/>
      <w:ind w:left="-567" w:right="-1191" w:firstLine="567"/>
    </w:pPr>
    <w:rPr>
      <w:sz w:val="28"/>
      <w:szCs w:val="28"/>
    </w:rPr>
  </w:style>
  <w:style w:type="paragraph" w:styleId="af3">
    <w:name w:val="Body Text Indent"/>
    <w:basedOn w:val="a4"/>
    <w:link w:val="af4"/>
    <w:rsid w:val="00B43063"/>
    <w:rPr>
      <w:sz w:val="28"/>
      <w:szCs w:val="28"/>
    </w:rPr>
  </w:style>
  <w:style w:type="character" w:customStyle="1" w:styleId="af4">
    <w:name w:val="Основной текст с отступом Знак"/>
    <w:link w:val="af3"/>
    <w:rsid w:val="00247014"/>
    <w:rPr>
      <w:sz w:val="28"/>
      <w:szCs w:val="28"/>
    </w:rPr>
  </w:style>
  <w:style w:type="paragraph" w:styleId="23">
    <w:name w:val="Body Text Indent 2"/>
    <w:basedOn w:val="a4"/>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4"/>
    <w:link w:val="34"/>
    <w:rsid w:val="00B43063"/>
    <w:pPr>
      <w:ind w:firstLine="454"/>
    </w:pPr>
    <w:rPr>
      <w:sz w:val="18"/>
      <w:szCs w:val="18"/>
    </w:rPr>
  </w:style>
  <w:style w:type="character" w:customStyle="1" w:styleId="34">
    <w:name w:val="Основной текст с отступом 3 Знак"/>
    <w:link w:val="33"/>
    <w:rsid w:val="00247014"/>
    <w:rPr>
      <w:sz w:val="18"/>
      <w:szCs w:val="18"/>
    </w:rPr>
  </w:style>
  <w:style w:type="paragraph" w:styleId="af5">
    <w:name w:val="caption"/>
    <w:aliases w:val="Название объекта Знак,таб,таб Знак"/>
    <w:basedOn w:val="a4"/>
    <w:next w:val="a4"/>
    <w:uiPriority w:val="35"/>
    <w:qFormat/>
    <w:rsid w:val="00B43063"/>
    <w:pPr>
      <w:spacing w:before="120" w:after="120"/>
    </w:pPr>
    <w:rPr>
      <w:sz w:val="28"/>
      <w:szCs w:val="28"/>
    </w:rPr>
  </w:style>
  <w:style w:type="paragraph" w:styleId="a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4"/>
    <w:link w:val="af7"/>
    <w:uiPriority w:val="99"/>
    <w:qFormat/>
    <w:rsid w:val="00B43063"/>
    <w:rPr>
      <w:rFonts w:ascii="Arial" w:hAnsi="Arial" w:cs="Arial"/>
      <w:sz w:val="18"/>
      <w:szCs w:val="18"/>
    </w:rPr>
  </w:style>
  <w:style w:type="character" w:customStyle="1" w:styleId="af7">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6"/>
    <w:uiPriority w:val="99"/>
    <w:qFormat/>
    <w:rsid w:val="007A1D06"/>
    <w:rPr>
      <w:rFonts w:ascii="Arial" w:hAnsi="Arial" w:cs="Arial"/>
      <w:sz w:val="18"/>
      <w:szCs w:val="18"/>
      <w:lang w:val="ru-RU" w:eastAsia="ru-RU" w:bidi="ar-SA"/>
    </w:rPr>
  </w:style>
  <w:style w:type="character" w:styleId="af8">
    <w:name w:val="footnote reference"/>
    <w:aliases w:val="Знак сноски-FN,Ciae niinee-FN"/>
    <w:uiPriority w:val="99"/>
    <w:rsid w:val="00B43063"/>
    <w:rPr>
      <w:sz w:val="20"/>
      <w:szCs w:val="20"/>
      <w:vertAlign w:val="superscript"/>
    </w:rPr>
  </w:style>
  <w:style w:type="paragraph" w:customStyle="1" w:styleId="15">
    <w:name w:val="Текст концевой сноски1"/>
    <w:basedOn w:val="a4"/>
    <w:uiPriority w:val="99"/>
    <w:rsid w:val="00B43063"/>
    <w:pPr>
      <w:widowControl w:val="0"/>
    </w:pPr>
  </w:style>
  <w:style w:type="character" w:customStyle="1" w:styleId="25">
    <w:name w:val="Знак концевой сноски2"/>
    <w:rsid w:val="00B43063"/>
    <w:rPr>
      <w:vertAlign w:val="superscript"/>
    </w:rPr>
  </w:style>
  <w:style w:type="paragraph" w:styleId="af9">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4"/>
    <w:link w:val="26"/>
    <w:rsid w:val="00B43063"/>
    <w:rPr>
      <w:i/>
      <w:iCs/>
      <w:sz w:val="28"/>
      <w:szCs w:val="28"/>
    </w:rPr>
  </w:style>
  <w:style w:type="paragraph" w:customStyle="1" w:styleId="MTDisplayEquation">
    <w:name w:val="MTDisplayEquation"/>
    <w:basedOn w:val="a4"/>
    <w:rsid w:val="00B43063"/>
    <w:pPr>
      <w:tabs>
        <w:tab w:val="center" w:pos="4540"/>
        <w:tab w:val="right" w:pos="9080"/>
      </w:tabs>
    </w:pPr>
    <w:rPr>
      <w:sz w:val="28"/>
      <w:szCs w:val="28"/>
    </w:rPr>
  </w:style>
  <w:style w:type="paragraph" w:styleId="35">
    <w:name w:val="Body Text 3"/>
    <w:basedOn w:val="a4"/>
    <w:link w:val="36"/>
    <w:rsid w:val="00B43063"/>
    <w:pPr>
      <w:jc w:val="center"/>
    </w:pPr>
    <w:rPr>
      <w:sz w:val="28"/>
      <w:szCs w:val="28"/>
    </w:rPr>
  </w:style>
  <w:style w:type="character" w:customStyle="1" w:styleId="36">
    <w:name w:val="Основной текст 3 Знак"/>
    <w:link w:val="35"/>
    <w:rsid w:val="00247014"/>
    <w:rPr>
      <w:sz w:val="28"/>
      <w:szCs w:val="28"/>
    </w:rPr>
  </w:style>
  <w:style w:type="paragraph" w:styleId="27">
    <w:name w:val="toc 2"/>
    <w:basedOn w:val="a4"/>
    <w:next w:val="a4"/>
    <w:autoRedefine/>
    <w:uiPriority w:val="39"/>
    <w:qFormat/>
    <w:rsid w:val="00B43063"/>
    <w:pPr>
      <w:tabs>
        <w:tab w:val="right" w:leader="dot" w:pos="9060"/>
      </w:tabs>
      <w:ind w:left="200"/>
    </w:pPr>
    <w:rPr>
      <w:noProof/>
      <w:sz w:val="16"/>
      <w:szCs w:val="16"/>
      <w:lang w:val="en-US"/>
    </w:rPr>
  </w:style>
  <w:style w:type="paragraph" w:styleId="16">
    <w:name w:val="toc 1"/>
    <w:basedOn w:val="a4"/>
    <w:next w:val="a4"/>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4"/>
    <w:next w:val="a4"/>
    <w:autoRedefine/>
    <w:uiPriority w:val="39"/>
    <w:rsid w:val="00B43063"/>
    <w:rPr>
      <w:rFonts w:ascii="Derby" w:hAnsi="Derby"/>
      <w:szCs w:val="24"/>
    </w:rPr>
  </w:style>
  <w:style w:type="paragraph" w:styleId="43">
    <w:name w:val="toc 4"/>
    <w:basedOn w:val="a4"/>
    <w:next w:val="a4"/>
    <w:autoRedefine/>
    <w:semiHidden/>
    <w:rsid w:val="00B43063"/>
    <w:pPr>
      <w:ind w:left="720"/>
    </w:pPr>
    <w:rPr>
      <w:szCs w:val="24"/>
    </w:rPr>
  </w:style>
  <w:style w:type="paragraph" w:styleId="53">
    <w:name w:val="toc 5"/>
    <w:basedOn w:val="a4"/>
    <w:next w:val="a4"/>
    <w:autoRedefine/>
    <w:semiHidden/>
    <w:rsid w:val="00B43063"/>
    <w:pPr>
      <w:ind w:left="960"/>
    </w:pPr>
    <w:rPr>
      <w:szCs w:val="24"/>
    </w:rPr>
  </w:style>
  <w:style w:type="paragraph" w:styleId="62">
    <w:name w:val="toc 6"/>
    <w:basedOn w:val="a4"/>
    <w:next w:val="a4"/>
    <w:autoRedefine/>
    <w:semiHidden/>
    <w:rsid w:val="00B43063"/>
    <w:pPr>
      <w:ind w:left="1200"/>
    </w:pPr>
    <w:rPr>
      <w:szCs w:val="24"/>
    </w:rPr>
  </w:style>
  <w:style w:type="paragraph" w:styleId="72">
    <w:name w:val="toc 7"/>
    <w:basedOn w:val="a4"/>
    <w:next w:val="a4"/>
    <w:autoRedefine/>
    <w:semiHidden/>
    <w:rsid w:val="00B43063"/>
    <w:pPr>
      <w:ind w:left="1440"/>
    </w:pPr>
    <w:rPr>
      <w:szCs w:val="24"/>
    </w:rPr>
  </w:style>
  <w:style w:type="paragraph" w:styleId="82">
    <w:name w:val="toc 8"/>
    <w:basedOn w:val="a4"/>
    <w:next w:val="a4"/>
    <w:autoRedefine/>
    <w:semiHidden/>
    <w:rsid w:val="00B43063"/>
    <w:pPr>
      <w:ind w:left="1680"/>
    </w:pPr>
    <w:rPr>
      <w:szCs w:val="24"/>
    </w:rPr>
  </w:style>
  <w:style w:type="paragraph" w:styleId="92">
    <w:name w:val="toc 9"/>
    <w:basedOn w:val="a4"/>
    <w:next w:val="a4"/>
    <w:autoRedefine/>
    <w:semiHidden/>
    <w:rsid w:val="00B43063"/>
    <w:pPr>
      <w:ind w:left="1920"/>
    </w:pPr>
    <w:rPr>
      <w:szCs w:val="24"/>
    </w:rPr>
  </w:style>
  <w:style w:type="character" w:styleId="afa">
    <w:name w:val="Hyperlink"/>
    <w:uiPriority w:val="99"/>
    <w:rsid w:val="00B43063"/>
    <w:rPr>
      <w:color w:val="0000FF"/>
      <w:u w:val="single"/>
    </w:rPr>
  </w:style>
  <w:style w:type="paragraph" w:customStyle="1" w:styleId="afb">
    <w:name w:val="Цитаты"/>
    <w:basedOn w:val="a4"/>
    <w:rsid w:val="00B43063"/>
    <w:pPr>
      <w:widowControl w:val="0"/>
      <w:spacing w:before="100" w:after="100"/>
      <w:ind w:left="360" w:right="360"/>
    </w:pPr>
    <w:rPr>
      <w:szCs w:val="24"/>
    </w:rPr>
  </w:style>
  <w:style w:type="paragraph" w:customStyle="1" w:styleId="BodyText21">
    <w:name w:val="Body Text 21"/>
    <w:basedOn w:val="a4"/>
    <w:rsid w:val="00B43063"/>
    <w:pPr>
      <w:jc w:val="center"/>
    </w:pPr>
    <w:rPr>
      <w:rFonts w:ascii="Arial" w:hAnsi="Arial" w:cs="Arial"/>
      <w:sz w:val="16"/>
      <w:szCs w:val="16"/>
    </w:rPr>
  </w:style>
  <w:style w:type="character" w:customStyle="1" w:styleId="afc">
    <w:name w:val="номер страницы"/>
    <w:basedOn w:val="a8"/>
    <w:rsid w:val="00B43063"/>
  </w:style>
  <w:style w:type="character" w:customStyle="1" w:styleId="MTEquationSection">
    <w:name w:val="MTEquationSection"/>
    <w:rsid w:val="00B43063"/>
    <w:rPr>
      <w:vanish/>
      <w:color w:val="FF0000"/>
    </w:rPr>
  </w:style>
  <w:style w:type="paragraph" w:styleId="28">
    <w:name w:val="Body Text 2"/>
    <w:basedOn w:val="a4"/>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d">
    <w:name w:val="List"/>
    <w:basedOn w:val="a4"/>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e">
    <w:name w:val="Табличный"/>
    <w:basedOn w:val="a4"/>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
    <w:name w:val="Normal (Web)"/>
    <w:aliases w:val="Обычный (Web) Знак Знак"/>
    <w:basedOn w:val="a4"/>
    <w:link w:val="aff0"/>
    <w:uiPriority w:val="99"/>
    <w:qFormat/>
    <w:rsid w:val="00B43063"/>
    <w:pPr>
      <w:autoSpaceDE/>
      <w:autoSpaceDN/>
      <w:spacing w:before="100" w:beforeAutospacing="1" w:after="100" w:afterAutospacing="1"/>
    </w:pPr>
    <w:rPr>
      <w:color w:val="000000"/>
      <w:sz w:val="24"/>
      <w:szCs w:val="24"/>
    </w:rPr>
  </w:style>
  <w:style w:type="character" w:customStyle="1" w:styleId="aff0">
    <w:name w:val="Обычный (веб) Знак"/>
    <w:aliases w:val="Обычный (Web) Знак Знак Знак"/>
    <w:link w:val="aff"/>
    <w:locked/>
    <w:rsid w:val="00382FC1"/>
    <w:rPr>
      <w:color w:val="000000"/>
      <w:sz w:val="24"/>
      <w:szCs w:val="24"/>
    </w:rPr>
  </w:style>
  <w:style w:type="character" w:styleId="aff1">
    <w:name w:val="FollowedHyperlink"/>
    <w:uiPriority w:val="99"/>
    <w:rsid w:val="00B43063"/>
    <w:rPr>
      <w:color w:val="800080"/>
      <w:u w:val="single"/>
    </w:rPr>
  </w:style>
  <w:style w:type="paragraph" w:customStyle="1" w:styleId="xl38">
    <w:name w:val="xl38"/>
    <w:basedOn w:val="a4"/>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2">
    <w:name w:val="Гипертекстовая ссылка"/>
    <w:rsid w:val="000D30D2"/>
    <w:rPr>
      <w:color w:val="008000"/>
      <w:u w:val="single"/>
    </w:rPr>
  </w:style>
  <w:style w:type="paragraph" w:customStyle="1" w:styleId="aff3">
    <w:name w:val="Таблицы (моноширинный)"/>
    <w:basedOn w:val="a4"/>
    <w:next w:val="a4"/>
    <w:rsid w:val="000D30D2"/>
    <w:pPr>
      <w:adjustRightInd w:val="0"/>
    </w:pPr>
    <w:rPr>
      <w:rFonts w:ascii="Courier New" w:hAnsi="Courier New" w:cs="Courier New"/>
    </w:rPr>
  </w:style>
  <w:style w:type="paragraph" w:customStyle="1" w:styleId="aff4">
    <w:name w:val="Комментарий"/>
    <w:basedOn w:val="a4"/>
    <w:next w:val="a4"/>
    <w:rsid w:val="000D30D2"/>
    <w:pPr>
      <w:adjustRightInd w:val="0"/>
      <w:ind w:left="170"/>
    </w:pPr>
    <w:rPr>
      <w:rFonts w:ascii="Arial" w:hAnsi="Arial"/>
      <w:i/>
      <w:iCs/>
      <w:color w:val="800080"/>
      <w:sz w:val="24"/>
      <w:szCs w:val="24"/>
    </w:rPr>
  </w:style>
  <w:style w:type="paragraph" w:customStyle="1" w:styleId="aff5">
    <w:name w:val="Словарная статья"/>
    <w:basedOn w:val="a4"/>
    <w:next w:val="a4"/>
    <w:rsid w:val="000D30D2"/>
    <w:pPr>
      <w:adjustRightInd w:val="0"/>
      <w:ind w:right="118"/>
    </w:pPr>
    <w:rPr>
      <w:rFonts w:ascii="Arial" w:hAnsi="Arial"/>
      <w:sz w:val="26"/>
      <w:szCs w:val="26"/>
    </w:rPr>
  </w:style>
  <w:style w:type="character" w:customStyle="1" w:styleId="aff6">
    <w:name w:val="Цветовое выделение"/>
    <w:rsid w:val="000D30D2"/>
    <w:rPr>
      <w:b/>
      <w:bCs/>
      <w:color w:val="000080"/>
      <w:sz w:val="26"/>
      <w:szCs w:val="26"/>
    </w:rPr>
  </w:style>
  <w:style w:type="paragraph" w:customStyle="1" w:styleId="aff7">
    <w:name w:val="Заголовок статьи"/>
    <w:basedOn w:val="a4"/>
    <w:next w:val="a4"/>
    <w:rsid w:val="000D30D2"/>
    <w:pPr>
      <w:widowControl w:val="0"/>
      <w:adjustRightInd w:val="0"/>
      <w:ind w:left="1612" w:hanging="2504"/>
    </w:pPr>
    <w:rPr>
      <w:rFonts w:ascii="Arial" w:hAnsi="Arial"/>
      <w:sz w:val="26"/>
      <w:szCs w:val="26"/>
    </w:rPr>
  </w:style>
  <w:style w:type="paragraph" w:customStyle="1" w:styleId="2006-">
    <w:name w:val="Харьков 2006 - Текст"/>
    <w:basedOn w:val="a4"/>
    <w:rsid w:val="000D30D2"/>
    <w:pPr>
      <w:autoSpaceDE/>
      <w:autoSpaceDN/>
      <w:ind w:firstLine="340"/>
    </w:pPr>
    <w:rPr>
      <w:szCs w:val="24"/>
    </w:rPr>
  </w:style>
  <w:style w:type="paragraph" w:customStyle="1" w:styleId="2006-1">
    <w:name w:val="Харьков 2006 - Заголовок 1"/>
    <w:basedOn w:val="a4"/>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8">
    <w:name w:val="Нумерованный"/>
    <w:basedOn w:val="a4"/>
    <w:link w:val="aff9"/>
    <w:rsid w:val="004E4CAE"/>
    <w:pPr>
      <w:widowControl w:val="0"/>
      <w:tabs>
        <w:tab w:val="num" w:pos="340"/>
      </w:tabs>
      <w:autoSpaceDE/>
      <w:autoSpaceDN/>
      <w:spacing w:line="360" w:lineRule="auto"/>
      <w:ind w:left="340" w:hanging="340"/>
    </w:pPr>
    <w:rPr>
      <w:sz w:val="28"/>
      <w:szCs w:val="24"/>
    </w:rPr>
  </w:style>
  <w:style w:type="character" w:customStyle="1" w:styleId="aff9">
    <w:name w:val="Нумерованный Знак Знак"/>
    <w:link w:val="aff8"/>
    <w:rsid w:val="004E4CAE"/>
    <w:rPr>
      <w:sz w:val="28"/>
      <w:szCs w:val="24"/>
    </w:rPr>
  </w:style>
  <w:style w:type="paragraph" w:customStyle="1" w:styleId="affa">
    <w:name w:val="Наз_рис"/>
    <w:basedOn w:val="a4"/>
    <w:rsid w:val="004E4CAE"/>
    <w:pPr>
      <w:keepNext/>
      <w:widowControl w:val="0"/>
      <w:autoSpaceDE/>
      <w:autoSpaceDN/>
      <w:spacing w:before="120" w:line="288" w:lineRule="auto"/>
      <w:jc w:val="center"/>
    </w:pPr>
    <w:rPr>
      <w:rFonts w:ascii="Arial" w:hAnsi="Arial"/>
      <w:b/>
      <w:sz w:val="24"/>
      <w:szCs w:val="22"/>
    </w:rPr>
  </w:style>
  <w:style w:type="paragraph" w:customStyle="1" w:styleId="affb">
    <w:name w:val="Заг"/>
    <w:basedOn w:val="a4"/>
    <w:rsid w:val="004E4CAE"/>
    <w:pPr>
      <w:autoSpaceDE/>
      <w:autoSpaceDN/>
      <w:spacing w:before="240" w:after="60"/>
      <w:jc w:val="center"/>
    </w:pPr>
    <w:rPr>
      <w:rFonts w:ascii="Arial" w:hAnsi="Arial"/>
      <w:b/>
      <w:kern w:val="28"/>
      <w:sz w:val="28"/>
      <w:szCs w:val="24"/>
    </w:rPr>
  </w:style>
  <w:style w:type="paragraph" w:customStyle="1" w:styleId="affc">
    <w:name w:val="Номер таблицы"/>
    <w:basedOn w:val="a4"/>
    <w:next w:val="a4"/>
    <w:link w:val="affd"/>
    <w:rsid w:val="004E4CAE"/>
    <w:pPr>
      <w:keepNext/>
      <w:autoSpaceDE/>
      <w:autoSpaceDN/>
      <w:spacing w:before="60" w:after="60" w:line="288" w:lineRule="auto"/>
      <w:jc w:val="right"/>
    </w:pPr>
    <w:rPr>
      <w:b/>
      <w:sz w:val="24"/>
    </w:rPr>
  </w:style>
  <w:style w:type="character" w:customStyle="1" w:styleId="affd">
    <w:name w:val="Номер таблицы Знак"/>
    <w:link w:val="affc"/>
    <w:rsid w:val="004E4CAE"/>
    <w:rPr>
      <w:b/>
      <w:sz w:val="24"/>
      <w:lang w:val="ru-RU" w:eastAsia="ru-RU" w:bidi="ar-SA"/>
    </w:rPr>
  </w:style>
  <w:style w:type="table" w:styleId="affe">
    <w:name w:val="Table Grid"/>
    <w:basedOn w:val="a6"/>
    <w:uiPriority w:val="39"/>
    <w:qFormat/>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0">
    <w:name w:val="методички"/>
    <w:basedOn w:val="a4"/>
    <w:rsid w:val="00B6759F"/>
    <w:pPr>
      <w:autoSpaceDE/>
      <w:autoSpaceDN/>
      <w:ind w:firstLine="397"/>
    </w:pPr>
    <w:rPr>
      <w:sz w:val="28"/>
    </w:rPr>
  </w:style>
  <w:style w:type="character" w:styleId="afff1">
    <w:name w:val="Strong"/>
    <w:uiPriority w:val="22"/>
    <w:qFormat/>
    <w:rsid w:val="000B690B"/>
    <w:rPr>
      <w:b/>
      <w:bCs/>
    </w:rPr>
  </w:style>
  <w:style w:type="paragraph" w:styleId="afff2">
    <w:name w:val="Balloon Text"/>
    <w:basedOn w:val="a4"/>
    <w:link w:val="afff3"/>
    <w:uiPriority w:val="99"/>
    <w:semiHidden/>
    <w:qFormat/>
    <w:rsid w:val="00865A88"/>
    <w:rPr>
      <w:rFonts w:ascii="Tahoma" w:hAnsi="Tahoma"/>
      <w:sz w:val="16"/>
      <w:szCs w:val="16"/>
    </w:rPr>
  </w:style>
  <w:style w:type="character" w:customStyle="1" w:styleId="afff3">
    <w:name w:val="Текст выноски Знак"/>
    <w:link w:val="afff2"/>
    <w:uiPriority w:val="99"/>
    <w:semiHidden/>
    <w:qFormat/>
    <w:rsid w:val="00247014"/>
    <w:rPr>
      <w:rFonts w:ascii="Tahoma" w:hAnsi="Tahoma" w:cs="Tahoma"/>
      <w:sz w:val="16"/>
      <w:szCs w:val="16"/>
    </w:rPr>
  </w:style>
  <w:style w:type="character" w:styleId="afff4">
    <w:name w:val="endnote reference"/>
    <w:uiPriority w:val="99"/>
    <w:semiHidden/>
    <w:rsid w:val="00BD707E"/>
    <w:rPr>
      <w:vertAlign w:val="superscript"/>
    </w:rPr>
  </w:style>
  <w:style w:type="paragraph" w:customStyle="1" w:styleId="tablebody">
    <w:name w:val="tablebody"/>
    <w:basedOn w:val="a4"/>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5"/>
    <w:rsid w:val="00FE234C"/>
  </w:style>
  <w:style w:type="character" w:styleId="afff5">
    <w:name w:val="Emphasis"/>
    <w:uiPriority w:val="20"/>
    <w:qFormat/>
    <w:rsid w:val="00AC3A95"/>
    <w:rPr>
      <w:i/>
      <w:iCs/>
    </w:rPr>
  </w:style>
  <w:style w:type="paragraph" w:styleId="afff6">
    <w:name w:val="Plain Text"/>
    <w:basedOn w:val="a4"/>
    <w:link w:val="afff7"/>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4"/>
    <w:rsid w:val="00545D19"/>
    <w:pPr>
      <w:autoSpaceDE/>
      <w:autoSpaceDN/>
      <w:spacing w:after="160" w:line="240" w:lineRule="exact"/>
    </w:pPr>
    <w:rPr>
      <w:rFonts w:ascii="Arial" w:hAnsi="Arial" w:cs="Arial"/>
      <w:lang w:val="en-US" w:eastAsia="en-US"/>
    </w:rPr>
  </w:style>
  <w:style w:type="paragraph" w:styleId="afff8">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4"/>
    <w:link w:val="afff9"/>
    <w:uiPriority w:val="34"/>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5"/>
    <w:rsid w:val="00004266"/>
  </w:style>
  <w:style w:type="paragraph" w:customStyle="1" w:styleId="afffa">
    <w:name w:val="Знак"/>
    <w:basedOn w:val="a4"/>
    <w:rsid w:val="001A781F"/>
    <w:pPr>
      <w:autoSpaceDE/>
      <w:autoSpaceDN/>
    </w:pPr>
    <w:rPr>
      <w:rFonts w:ascii="Verdana" w:hAnsi="Verdana" w:cs="Verdana"/>
      <w:lang w:val="en-US" w:eastAsia="en-US"/>
    </w:rPr>
  </w:style>
  <w:style w:type="paragraph" w:customStyle="1" w:styleId="17">
    <w:name w:val="Знак1"/>
    <w:basedOn w:val="a4"/>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4"/>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4"/>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4"/>
    <w:rsid w:val="001701FC"/>
    <w:pPr>
      <w:widowControl w:val="0"/>
      <w:adjustRightInd w:val="0"/>
    </w:pPr>
    <w:rPr>
      <w:rFonts w:ascii="Calibri" w:hAnsi="Calibri"/>
      <w:sz w:val="24"/>
      <w:szCs w:val="24"/>
    </w:rPr>
  </w:style>
  <w:style w:type="paragraph" w:customStyle="1" w:styleId="Style6">
    <w:name w:val="Style6"/>
    <w:basedOn w:val="a4"/>
    <w:rsid w:val="001701FC"/>
    <w:pPr>
      <w:widowControl w:val="0"/>
      <w:adjustRightInd w:val="0"/>
      <w:spacing w:line="266" w:lineRule="exact"/>
    </w:pPr>
    <w:rPr>
      <w:rFonts w:ascii="Calibri" w:hAnsi="Calibri"/>
      <w:sz w:val="24"/>
      <w:szCs w:val="24"/>
    </w:rPr>
  </w:style>
  <w:style w:type="paragraph" w:customStyle="1" w:styleId="18">
    <w:name w:val="Знак Знак Знак Знак Знак Знак Знак1"/>
    <w:basedOn w:val="a4"/>
    <w:rsid w:val="00980B47"/>
    <w:pPr>
      <w:autoSpaceDE/>
      <w:autoSpaceDN/>
      <w:spacing w:before="100" w:beforeAutospacing="1" w:after="100" w:afterAutospacing="1"/>
    </w:pPr>
    <w:rPr>
      <w:rFonts w:ascii="Tahoma" w:hAnsi="Tahoma"/>
      <w:lang w:val="en-US" w:eastAsia="en-US"/>
    </w:rPr>
  </w:style>
  <w:style w:type="paragraph" w:customStyle="1" w:styleId="afffb">
    <w:name w:val="Формула"/>
    <w:basedOn w:val="a4"/>
    <w:next w:val="a4"/>
    <w:rsid w:val="006252EE"/>
    <w:pPr>
      <w:tabs>
        <w:tab w:val="center" w:pos="4820"/>
        <w:tab w:val="right" w:pos="9356"/>
      </w:tabs>
      <w:autoSpaceDE/>
      <w:autoSpaceDN/>
      <w:spacing w:line="360" w:lineRule="auto"/>
    </w:pPr>
    <w:rPr>
      <w:sz w:val="28"/>
    </w:rPr>
  </w:style>
  <w:style w:type="paragraph" w:customStyle="1" w:styleId="afffc">
    <w:name w:val="Таблица"/>
    <w:basedOn w:val="a4"/>
    <w:next w:val="a4"/>
    <w:rsid w:val="006252EE"/>
    <w:pPr>
      <w:keepNext/>
      <w:suppressAutoHyphens/>
      <w:autoSpaceDE/>
      <w:autoSpaceDN/>
      <w:ind w:left="1701" w:hanging="1701"/>
    </w:pPr>
    <w:rPr>
      <w:sz w:val="28"/>
      <w:szCs w:val="28"/>
    </w:rPr>
  </w:style>
  <w:style w:type="paragraph" w:customStyle="1" w:styleId="-">
    <w:name w:val="Текст-табл"/>
    <w:basedOn w:val="a4"/>
    <w:rsid w:val="006252EE"/>
    <w:pPr>
      <w:autoSpaceDE/>
      <w:autoSpaceDN/>
      <w:jc w:val="center"/>
    </w:pPr>
    <w:rPr>
      <w:sz w:val="24"/>
    </w:rPr>
  </w:style>
  <w:style w:type="paragraph" w:customStyle="1" w:styleId="afffd">
    <w:name w:val="Послеформул"/>
    <w:basedOn w:val="a4"/>
    <w:next w:val="a4"/>
    <w:rsid w:val="006252EE"/>
    <w:pPr>
      <w:autoSpaceDE/>
      <w:autoSpaceDN/>
      <w:spacing w:line="360" w:lineRule="auto"/>
    </w:pPr>
    <w:rPr>
      <w:sz w:val="28"/>
    </w:rPr>
  </w:style>
  <w:style w:type="paragraph" w:customStyle="1" w:styleId="afffe">
    <w:name w:val="Послетаблиц"/>
    <w:basedOn w:val="a4"/>
    <w:next w:val="a4"/>
    <w:link w:val="affff"/>
    <w:rsid w:val="006252EE"/>
    <w:pPr>
      <w:autoSpaceDE/>
      <w:autoSpaceDN/>
      <w:spacing w:before="120" w:line="360" w:lineRule="auto"/>
      <w:ind w:firstLine="720"/>
    </w:pPr>
    <w:rPr>
      <w:sz w:val="28"/>
    </w:rPr>
  </w:style>
  <w:style w:type="character" w:customStyle="1" w:styleId="affff">
    <w:name w:val="Послетаблиц Знак"/>
    <w:link w:val="afffe"/>
    <w:rsid w:val="006252EE"/>
    <w:rPr>
      <w:sz w:val="28"/>
      <w:lang w:val="ru-RU" w:eastAsia="ru-RU" w:bidi="ar-SA"/>
    </w:rPr>
  </w:style>
  <w:style w:type="paragraph" w:customStyle="1" w:styleId="affff0">
    <w:name w:val="Подрисуночная подпись"/>
    <w:basedOn w:val="a4"/>
    <w:next w:val="a4"/>
    <w:rsid w:val="006252EE"/>
    <w:pPr>
      <w:suppressAutoHyphens/>
      <w:autoSpaceDE/>
      <w:autoSpaceDN/>
      <w:spacing w:before="60" w:after="240" w:line="280" w:lineRule="exact"/>
      <w:jc w:val="center"/>
    </w:pPr>
    <w:rPr>
      <w:sz w:val="28"/>
    </w:rPr>
  </w:style>
  <w:style w:type="paragraph" w:customStyle="1" w:styleId="19">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4"/>
    <w:uiPriority w:val="99"/>
    <w:rsid w:val="009A6CAD"/>
    <w:pPr>
      <w:autoSpaceDE/>
      <w:autoSpaceDN/>
      <w:spacing w:after="160" w:line="240" w:lineRule="exact"/>
      <w:jc w:val="left"/>
    </w:pPr>
    <w:rPr>
      <w:rFonts w:ascii="Arial" w:hAnsi="Arial" w:cs="Arial"/>
      <w:lang w:val="en-US" w:eastAsia="en-US"/>
    </w:rPr>
  </w:style>
  <w:style w:type="paragraph" w:styleId="affff1">
    <w:name w:val="endnote text"/>
    <w:basedOn w:val="a4"/>
    <w:link w:val="affff2"/>
    <w:uiPriority w:val="99"/>
    <w:rsid w:val="00247014"/>
    <w:pPr>
      <w:autoSpaceDE/>
      <w:autoSpaceDN/>
      <w:jc w:val="left"/>
    </w:pPr>
  </w:style>
  <w:style w:type="character" w:customStyle="1" w:styleId="affff2">
    <w:name w:val="Текст концевой сноски Знак"/>
    <w:basedOn w:val="a5"/>
    <w:link w:val="affff1"/>
    <w:uiPriority w:val="99"/>
    <w:rsid w:val="00247014"/>
  </w:style>
  <w:style w:type="paragraph" w:customStyle="1" w:styleId="xl29">
    <w:name w:val="xl29"/>
    <w:basedOn w:val="a4"/>
    <w:rsid w:val="00247014"/>
    <w:pPr>
      <w:autoSpaceDE/>
      <w:autoSpaceDN/>
      <w:spacing w:before="100" w:beforeAutospacing="1" w:after="100" w:afterAutospacing="1"/>
      <w:jc w:val="right"/>
    </w:pPr>
    <w:rPr>
      <w:sz w:val="24"/>
      <w:szCs w:val="24"/>
    </w:rPr>
  </w:style>
  <w:style w:type="paragraph" w:customStyle="1" w:styleId="affff3">
    <w:name w:val="АСписокЦ"/>
    <w:basedOn w:val="affff4"/>
    <w:rsid w:val="00247014"/>
    <w:pPr>
      <w:tabs>
        <w:tab w:val="num" w:pos="720"/>
      </w:tabs>
      <w:ind w:left="720" w:hanging="360"/>
    </w:pPr>
    <w:rPr>
      <w:rFonts w:cs="Arial"/>
    </w:rPr>
  </w:style>
  <w:style w:type="paragraph" w:customStyle="1" w:styleId="affff4">
    <w:name w:val="АТекстОтчета"/>
    <w:basedOn w:val="a4"/>
    <w:rsid w:val="00247014"/>
    <w:pPr>
      <w:autoSpaceDE/>
      <w:autoSpaceDN/>
      <w:spacing w:before="120"/>
      <w:ind w:firstLine="567"/>
    </w:pPr>
    <w:rPr>
      <w:rFonts w:ascii="Arial" w:hAnsi="Arial"/>
      <w:sz w:val="24"/>
      <w:szCs w:val="24"/>
    </w:rPr>
  </w:style>
  <w:style w:type="paragraph" w:customStyle="1" w:styleId="affff5">
    <w:name w:val="АНомер"/>
    <w:basedOn w:val="a4"/>
    <w:rsid w:val="00247014"/>
    <w:pPr>
      <w:autoSpaceDE/>
      <w:autoSpaceDN/>
      <w:jc w:val="center"/>
    </w:pPr>
    <w:rPr>
      <w:rFonts w:ascii="Arial" w:hAnsi="Arial"/>
      <w:szCs w:val="24"/>
    </w:rPr>
  </w:style>
  <w:style w:type="paragraph" w:customStyle="1" w:styleId="1a">
    <w:name w:val="Заг1"/>
    <w:basedOn w:val="11"/>
    <w:rsid w:val="00247014"/>
    <w:pPr>
      <w:autoSpaceDE/>
      <w:autoSpaceDN/>
      <w:spacing w:before="120"/>
      <w:ind w:left="567" w:right="567"/>
      <w:jc w:val="center"/>
    </w:pPr>
    <w:rPr>
      <w:i w:val="0"/>
      <w:iCs w:val="0"/>
      <w:sz w:val="28"/>
    </w:rPr>
  </w:style>
  <w:style w:type="paragraph" w:customStyle="1" w:styleId="affff6">
    <w:name w:val="АСписокТире"/>
    <w:basedOn w:val="affff3"/>
    <w:rsid w:val="00247014"/>
    <w:pPr>
      <w:tabs>
        <w:tab w:val="clear" w:pos="720"/>
        <w:tab w:val="num" w:pos="900"/>
      </w:tabs>
      <w:ind w:left="900" w:hanging="540"/>
    </w:pPr>
  </w:style>
  <w:style w:type="paragraph" w:customStyle="1" w:styleId="MapleOutput">
    <w:name w:val="Maple Output"/>
    <w:next w:val="a4"/>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4"/>
    <w:rsid w:val="00DE7EE2"/>
    <w:pPr>
      <w:autoSpaceDE/>
      <w:autoSpaceDN/>
      <w:spacing w:before="100" w:beforeAutospacing="1" w:after="100" w:afterAutospacing="1"/>
      <w:jc w:val="left"/>
    </w:pPr>
    <w:rPr>
      <w:sz w:val="24"/>
      <w:szCs w:val="24"/>
    </w:rPr>
  </w:style>
  <w:style w:type="character" w:customStyle="1" w:styleId="val">
    <w:name w:val="val"/>
    <w:basedOn w:val="a5"/>
    <w:rsid w:val="00DE7EE2"/>
  </w:style>
  <w:style w:type="character" w:customStyle="1" w:styleId="hps">
    <w:name w:val="hps"/>
    <w:rsid w:val="003A53EC"/>
    <w:rPr>
      <w:rFonts w:cs="Times New Roman"/>
    </w:rPr>
  </w:style>
  <w:style w:type="character" w:customStyle="1" w:styleId="shorttext">
    <w:name w:val="short_text"/>
    <w:basedOn w:val="a5"/>
    <w:rsid w:val="00D678CA"/>
  </w:style>
  <w:style w:type="character" w:customStyle="1" w:styleId="googqs-tidbit-0">
    <w:name w:val="goog_qs-tidbit-0"/>
    <w:basedOn w:val="a5"/>
    <w:rsid w:val="00D678CA"/>
  </w:style>
  <w:style w:type="paragraph" w:customStyle="1" w:styleId="pdf">
    <w:name w:val="pdf"/>
    <w:basedOn w:val="a4"/>
    <w:rsid w:val="00D678CA"/>
    <w:pPr>
      <w:autoSpaceDE/>
      <w:autoSpaceDN/>
      <w:spacing w:before="100" w:beforeAutospacing="1" w:after="100" w:afterAutospacing="1"/>
      <w:jc w:val="left"/>
    </w:pPr>
    <w:rPr>
      <w:sz w:val="24"/>
      <w:szCs w:val="24"/>
    </w:rPr>
  </w:style>
  <w:style w:type="character" w:customStyle="1" w:styleId="ft">
    <w:name w:val="ft"/>
    <w:basedOn w:val="a5"/>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b">
    <w:name w:val="Абзац списка1"/>
    <w:basedOn w:val="a4"/>
    <w:rsid w:val="00CE61C0"/>
    <w:pPr>
      <w:widowControl w:val="0"/>
      <w:adjustRightInd w:val="0"/>
      <w:ind w:left="720"/>
    </w:pPr>
    <w:rPr>
      <w:sz w:val="28"/>
    </w:rPr>
  </w:style>
  <w:style w:type="paragraph" w:customStyle="1" w:styleId="affff7">
    <w:name w:val="Основной"/>
    <w:basedOn w:val="a4"/>
    <w:link w:val="affff8"/>
    <w:rsid w:val="00E25227"/>
    <w:pPr>
      <w:autoSpaceDE/>
      <w:autoSpaceDN/>
      <w:spacing w:line="360" w:lineRule="auto"/>
    </w:pPr>
    <w:rPr>
      <w:sz w:val="24"/>
      <w:szCs w:val="24"/>
    </w:rPr>
  </w:style>
  <w:style w:type="character" w:customStyle="1" w:styleId="affff8">
    <w:name w:val="Основной Знак"/>
    <w:link w:val="affff7"/>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5"/>
    <w:rsid w:val="0023668B"/>
  </w:style>
  <w:style w:type="character" w:customStyle="1" w:styleId="Serp-urlmark">
    <w:name w:val="Serp-url__mark"/>
    <w:basedOn w:val="a5"/>
    <w:rsid w:val="0023668B"/>
  </w:style>
  <w:style w:type="paragraph" w:customStyle="1" w:styleId="formattext">
    <w:name w:val="formattext"/>
    <w:basedOn w:val="a4"/>
    <w:rsid w:val="0023668B"/>
    <w:pPr>
      <w:autoSpaceDE/>
      <w:autoSpaceDN/>
      <w:spacing w:before="100" w:beforeAutospacing="1" w:after="100" w:afterAutospacing="1"/>
      <w:jc w:val="left"/>
    </w:pPr>
    <w:rPr>
      <w:sz w:val="24"/>
      <w:szCs w:val="24"/>
    </w:rPr>
  </w:style>
  <w:style w:type="paragraph" w:customStyle="1" w:styleId="affff9">
    <w:name w:val="Осн. текст"/>
    <w:basedOn w:val="a4"/>
    <w:rsid w:val="00762FAD"/>
    <w:pPr>
      <w:autoSpaceDE/>
      <w:autoSpaceDN/>
      <w:ind w:firstLine="425"/>
    </w:pPr>
    <w:rPr>
      <w:rFonts w:eastAsia="Batang"/>
      <w:sz w:val="24"/>
      <w:szCs w:val="24"/>
      <w:lang w:eastAsia="ko-KR"/>
    </w:rPr>
  </w:style>
  <w:style w:type="paragraph" w:customStyle="1" w:styleId="affffa">
    <w:name w:val="Таб. осн."/>
    <w:basedOn w:val="a4"/>
    <w:rsid w:val="00762FAD"/>
    <w:pPr>
      <w:autoSpaceDE/>
      <w:autoSpaceDN/>
      <w:spacing w:before="60" w:after="60"/>
      <w:jc w:val="left"/>
    </w:pPr>
    <w:rPr>
      <w:rFonts w:eastAsia="Batang"/>
      <w:sz w:val="24"/>
      <w:szCs w:val="24"/>
      <w:lang w:eastAsia="ko-KR"/>
    </w:rPr>
  </w:style>
  <w:style w:type="paragraph" w:customStyle="1" w:styleId="affffb">
    <w:name w:val="Таб. номер"/>
    <w:basedOn w:val="a4"/>
    <w:next w:val="affffc"/>
    <w:rsid w:val="00762FAD"/>
    <w:pPr>
      <w:keepNext/>
      <w:keepLines/>
      <w:autoSpaceDE/>
      <w:autoSpaceDN/>
      <w:spacing w:after="120"/>
      <w:jc w:val="right"/>
    </w:pPr>
    <w:rPr>
      <w:rFonts w:eastAsia="Batang"/>
      <w:b/>
      <w:spacing w:val="30"/>
      <w:sz w:val="24"/>
      <w:szCs w:val="24"/>
      <w:lang w:eastAsia="ko-KR"/>
    </w:rPr>
  </w:style>
  <w:style w:type="paragraph" w:customStyle="1" w:styleId="affffc">
    <w:name w:val="Таб. название"/>
    <w:basedOn w:val="a4"/>
    <w:next w:val="affffa"/>
    <w:rsid w:val="00762FAD"/>
    <w:pPr>
      <w:keepNext/>
      <w:keepLines/>
      <w:suppressAutoHyphens/>
      <w:autoSpaceDE/>
      <w:autoSpaceDN/>
      <w:spacing w:after="120"/>
      <w:jc w:val="center"/>
    </w:pPr>
    <w:rPr>
      <w:rFonts w:eastAsia="Batang"/>
      <w:b/>
      <w:i/>
      <w:sz w:val="24"/>
      <w:szCs w:val="24"/>
      <w:lang w:eastAsia="ko-KR"/>
    </w:rPr>
  </w:style>
  <w:style w:type="paragraph" w:customStyle="1" w:styleId="affffd">
    <w:name w:val="Осн. без отступа"/>
    <w:basedOn w:val="affff9"/>
    <w:rsid w:val="00762FAD"/>
    <w:pPr>
      <w:ind w:firstLine="0"/>
    </w:pPr>
  </w:style>
  <w:style w:type="character" w:customStyle="1" w:styleId="affffe">
    <w:name w:val="Выделенный текст"/>
    <w:rsid w:val="00762FAD"/>
    <w:rPr>
      <w:i/>
    </w:rPr>
  </w:style>
  <w:style w:type="paragraph" w:customStyle="1" w:styleId="afffff">
    <w:name w:val="Рис. подпись"/>
    <w:basedOn w:val="affff9"/>
    <w:rsid w:val="00762FAD"/>
    <w:pPr>
      <w:ind w:left="1276" w:right="423" w:hanging="850"/>
    </w:pPr>
    <w:rPr>
      <w:i/>
    </w:rPr>
  </w:style>
  <w:style w:type="paragraph" w:customStyle="1" w:styleId="a3">
    <w:name w:val="Лит. список"/>
    <w:basedOn w:val="affff9"/>
    <w:rsid w:val="00762FAD"/>
    <w:pPr>
      <w:numPr>
        <w:numId w:val="1"/>
      </w:numPr>
      <w:ind w:left="425" w:hanging="425"/>
    </w:pPr>
  </w:style>
  <w:style w:type="paragraph" w:customStyle="1" w:styleId="a">
    <w:name w:val="Замечание"/>
    <w:basedOn w:val="affff9"/>
    <w:next w:val="affff9"/>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4"/>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0">
    <w:name w:val="ТАБЛИЦА"/>
    <w:next w:val="a4"/>
    <w:autoRedefine/>
    <w:rsid w:val="00762FAD"/>
    <w:pPr>
      <w:spacing w:line="360" w:lineRule="auto"/>
    </w:pPr>
    <w:rPr>
      <w:rFonts w:eastAsia="Calibri"/>
      <w:color w:val="000000"/>
    </w:rPr>
  </w:style>
  <w:style w:type="character" w:customStyle="1" w:styleId="apple-converted-space0">
    <w:name w:val="apple-converted-space"/>
    <w:basedOn w:val="a5"/>
    <w:rsid w:val="00762FAD"/>
  </w:style>
  <w:style w:type="paragraph" w:customStyle="1" w:styleId="afffff1">
    <w:name w:val="Гузель"/>
    <w:basedOn w:val="aff"/>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4"/>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4"/>
    <w:uiPriority w:val="34"/>
    <w:qFormat/>
    <w:rsid w:val="00856A4B"/>
    <w:pPr>
      <w:autoSpaceDE/>
      <w:autoSpaceDN/>
      <w:ind w:left="720" w:firstLine="567"/>
      <w:contextualSpacing/>
    </w:pPr>
    <w:rPr>
      <w:sz w:val="24"/>
      <w:szCs w:val="24"/>
    </w:rPr>
  </w:style>
  <w:style w:type="paragraph" w:customStyle="1" w:styleId="Style1">
    <w:name w:val="Style1"/>
    <w:basedOn w:val="a4"/>
    <w:uiPriority w:val="99"/>
    <w:rsid w:val="0057100B"/>
    <w:pPr>
      <w:widowControl w:val="0"/>
      <w:adjustRightInd w:val="0"/>
      <w:spacing w:line="242" w:lineRule="exact"/>
    </w:pPr>
    <w:rPr>
      <w:sz w:val="24"/>
      <w:szCs w:val="24"/>
    </w:rPr>
  </w:style>
  <w:style w:type="paragraph" w:customStyle="1" w:styleId="Style2">
    <w:name w:val="Style2"/>
    <w:basedOn w:val="a4"/>
    <w:uiPriority w:val="99"/>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4"/>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5"/>
    <w:rsid w:val="0057100B"/>
  </w:style>
  <w:style w:type="paragraph" w:customStyle="1" w:styleId="Spis-">
    <w:name w:val="Spis. -"/>
    <w:basedOn w:val="a4"/>
    <w:rsid w:val="00113DB2"/>
    <w:pPr>
      <w:numPr>
        <w:numId w:val="4"/>
      </w:numPr>
      <w:autoSpaceDE/>
      <w:autoSpaceDN/>
      <w:jc w:val="left"/>
    </w:pPr>
    <w:rPr>
      <w:sz w:val="24"/>
      <w:szCs w:val="24"/>
      <w:lang w:eastAsia="en-US"/>
    </w:rPr>
  </w:style>
  <w:style w:type="character" w:customStyle="1" w:styleId="translation">
    <w:name w:val="translation"/>
    <w:basedOn w:val="a5"/>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4"/>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c">
    <w:name w:val="ЗАГОЛОВОК1"/>
    <w:basedOn w:val="11"/>
    <w:link w:val="1d"/>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d">
    <w:name w:val="ЗАГОЛОВОК1 Знак"/>
    <w:link w:val="1c"/>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e">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0">
    <w:name w:val="1. Название таблицы"/>
    <w:rsid w:val="0070441C"/>
    <w:pPr>
      <w:suppressAutoHyphens/>
      <w:spacing w:line="360" w:lineRule="auto"/>
      <w:ind w:left="1474" w:hanging="1474"/>
    </w:pPr>
    <w:rPr>
      <w:sz w:val="28"/>
      <w:szCs w:val="22"/>
      <w:lang w:eastAsia="en-US"/>
    </w:rPr>
  </w:style>
  <w:style w:type="paragraph" w:customStyle="1" w:styleId="1f1">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5"/>
    <w:rsid w:val="0070441C"/>
  </w:style>
  <w:style w:type="character" w:customStyle="1" w:styleId="scopustermhighlight">
    <w:name w:val="scopustermhighlight"/>
    <w:basedOn w:val="a5"/>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2">
    <w:name w:val="No Spacing"/>
    <w:aliases w:val="научнаяработа"/>
    <w:link w:val="afffff3"/>
    <w:uiPriority w:val="1"/>
    <w:qFormat/>
    <w:rsid w:val="006E4263"/>
    <w:rPr>
      <w:rFonts w:ascii="Calibri" w:eastAsia="Calibri" w:hAnsi="Calibri"/>
      <w:sz w:val="22"/>
      <w:szCs w:val="22"/>
      <w:lang w:eastAsia="en-US"/>
    </w:rPr>
  </w:style>
  <w:style w:type="paragraph" w:customStyle="1" w:styleId="TNR12-1">
    <w:name w:val="TNR12-1"/>
    <w:aliases w:val="5"/>
    <w:basedOn w:val="a4"/>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3">
    <w:name w:val="Без интервала Знак"/>
    <w:aliases w:val="научнаяработа Знак"/>
    <w:link w:val="afffff2"/>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9">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8"/>
    <w:uiPriority w:val="34"/>
    <w:rsid w:val="00126428"/>
    <w:rPr>
      <w:rFonts w:ascii="Calibri" w:eastAsia="Calibri" w:hAnsi="Calibri"/>
      <w:sz w:val="22"/>
      <w:szCs w:val="22"/>
      <w:lang w:eastAsia="en-US"/>
    </w:rPr>
  </w:style>
  <w:style w:type="paragraph" w:customStyle="1" w:styleId="afffff4">
    <w:name w:val="Аннотация"/>
    <w:basedOn w:val="a4"/>
    <w:next w:val="a4"/>
    <w:link w:val="afffff5"/>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6">
    <w:name w:val="Список авторов"/>
    <w:basedOn w:val="a4"/>
    <w:next w:val="a4"/>
    <w:link w:val="afffff7"/>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5">
    <w:name w:val="Аннотация Знак"/>
    <w:link w:val="afffff4"/>
    <w:rsid w:val="001C114F"/>
    <w:rPr>
      <w:rFonts w:ascii="CMU Serif" w:eastAsia="Calibri" w:hAnsi="CMU Serif" w:cs="Times New Roman"/>
      <w:sz w:val="18"/>
      <w:szCs w:val="22"/>
      <w:lang w:val="en-US" w:eastAsia="en-US"/>
    </w:rPr>
  </w:style>
  <w:style w:type="paragraph" w:customStyle="1" w:styleId="afffff8">
    <w:name w:val="Список ключевых слов"/>
    <w:basedOn w:val="a4"/>
    <w:link w:val="afffff9"/>
    <w:autoRedefine/>
    <w:qFormat/>
    <w:rsid w:val="001C114F"/>
    <w:pPr>
      <w:autoSpaceDE/>
      <w:autoSpaceDN/>
      <w:ind w:firstLine="567"/>
    </w:pPr>
    <w:rPr>
      <w:rFonts w:eastAsia="Calibri"/>
      <w:sz w:val="18"/>
      <w:szCs w:val="22"/>
      <w:lang w:eastAsia="en-US"/>
    </w:rPr>
  </w:style>
  <w:style w:type="character" w:customStyle="1" w:styleId="afffff7">
    <w:name w:val="Список авторов Знак"/>
    <w:link w:val="afffff6"/>
    <w:rsid w:val="001C114F"/>
    <w:rPr>
      <w:rFonts w:ascii="Arial" w:eastAsia="Calibri" w:hAnsi="Arial" w:cs="Arial"/>
      <w:b/>
      <w:caps/>
      <w:sz w:val="28"/>
      <w:szCs w:val="22"/>
      <w:lang w:eastAsia="en-US"/>
    </w:rPr>
  </w:style>
  <w:style w:type="character" w:customStyle="1" w:styleId="afffff9">
    <w:name w:val="Список ключевых слов Знак"/>
    <w:link w:val="afffff8"/>
    <w:rsid w:val="001C114F"/>
    <w:rPr>
      <w:rFonts w:eastAsia="Calibri"/>
      <w:sz w:val="18"/>
      <w:szCs w:val="22"/>
      <w:lang w:eastAsia="en-US"/>
    </w:rPr>
  </w:style>
  <w:style w:type="character" w:customStyle="1" w:styleId="ft5">
    <w:name w:val="ft5"/>
    <w:basedOn w:val="a5"/>
    <w:rsid w:val="00C4383E"/>
  </w:style>
  <w:style w:type="character" w:customStyle="1" w:styleId="ft6">
    <w:name w:val="ft6"/>
    <w:basedOn w:val="a5"/>
    <w:rsid w:val="00C4383E"/>
  </w:style>
  <w:style w:type="character" w:customStyle="1" w:styleId="num">
    <w:name w:val="num"/>
    <w:basedOn w:val="a5"/>
    <w:rsid w:val="001B6465"/>
  </w:style>
  <w:style w:type="character" w:customStyle="1" w:styleId="text18">
    <w:name w:val="text18"/>
    <w:basedOn w:val="a5"/>
    <w:rsid w:val="001B6465"/>
  </w:style>
  <w:style w:type="paragraph" w:styleId="HTML">
    <w:name w:val="HTML Preformatted"/>
    <w:basedOn w:val="a4"/>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2">
    <w:name w:val="Нет списка1"/>
    <w:next w:val="a7"/>
    <w:uiPriority w:val="99"/>
    <w:semiHidden/>
    <w:unhideWhenUsed/>
    <w:rsid w:val="00D34DB1"/>
  </w:style>
  <w:style w:type="table" w:customStyle="1" w:styleId="1f3">
    <w:name w:val="Сетка таблицы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Гиперссылка1"/>
    <w:uiPriority w:val="99"/>
    <w:unhideWhenUsed/>
    <w:rsid w:val="00D34DB1"/>
    <w:rPr>
      <w:color w:val="0000FF"/>
      <w:u w:val="single"/>
    </w:rPr>
  </w:style>
  <w:style w:type="table" w:customStyle="1" w:styleId="130">
    <w:name w:val="Сетка таблицы1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a">
    <w:name w:val="Placeholder Text"/>
    <w:uiPriority w:val="99"/>
    <w:semiHidden/>
    <w:rsid w:val="00D34DB1"/>
    <w:rPr>
      <w:rFonts w:cs="Times New Roman"/>
      <w:color w:val="808080"/>
    </w:rPr>
  </w:style>
  <w:style w:type="table" w:customStyle="1" w:styleId="83">
    <w:name w:val="Сетка таблицы8"/>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next w:val="affe"/>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4"/>
    <w:next w:val="a4"/>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4"/>
    <w:next w:val="a4"/>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7"/>
    <w:uiPriority w:val="99"/>
    <w:semiHidden/>
    <w:unhideWhenUsed/>
    <w:rsid w:val="00D34DB1"/>
  </w:style>
  <w:style w:type="paragraph" w:customStyle="1" w:styleId="1f5">
    <w:name w:val="Заголовок оглавления1"/>
    <w:basedOn w:val="11"/>
    <w:next w:val="a4"/>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4"/>
    <w:next w:val="a4"/>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4"/>
    <w:next w:val="a4"/>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7"/>
    <w:uiPriority w:val="99"/>
    <w:semiHidden/>
    <w:unhideWhenUsed/>
    <w:rsid w:val="00D34DB1"/>
  </w:style>
  <w:style w:type="table" w:customStyle="1" w:styleId="211">
    <w:name w:val="Сетка таблицы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4"/>
    <w:next w:val="a4"/>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6"/>
    <w:next w:val="affe"/>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annotation reference"/>
    <w:uiPriority w:val="99"/>
    <w:unhideWhenUsed/>
    <w:rsid w:val="00D34DB1"/>
    <w:rPr>
      <w:rFonts w:cs="Times New Roman"/>
      <w:sz w:val="16"/>
      <w:szCs w:val="16"/>
    </w:rPr>
  </w:style>
  <w:style w:type="paragraph" w:styleId="afffffc">
    <w:name w:val="annotation text"/>
    <w:basedOn w:val="a4"/>
    <w:link w:val="afffffd"/>
    <w:uiPriority w:val="99"/>
    <w:unhideWhenUsed/>
    <w:qFormat/>
    <w:rsid w:val="00D34DB1"/>
    <w:pPr>
      <w:autoSpaceDE/>
      <w:autoSpaceDN/>
      <w:spacing w:after="160"/>
      <w:contextualSpacing/>
      <w:jc w:val="left"/>
    </w:pPr>
    <w:rPr>
      <w:rFonts w:ascii="Calibri" w:hAnsi="Calibri"/>
      <w:lang w:eastAsia="en-US"/>
    </w:rPr>
  </w:style>
  <w:style w:type="character" w:customStyle="1" w:styleId="afffffd">
    <w:name w:val="Текст примечания Знак"/>
    <w:basedOn w:val="a5"/>
    <w:link w:val="afffffc"/>
    <w:uiPriority w:val="99"/>
    <w:qFormat/>
    <w:rsid w:val="00D34DB1"/>
    <w:rPr>
      <w:rFonts w:ascii="Calibri" w:hAnsi="Calibri"/>
      <w:lang w:eastAsia="en-US"/>
    </w:rPr>
  </w:style>
  <w:style w:type="paragraph" w:styleId="afffffe">
    <w:name w:val="annotation subject"/>
    <w:basedOn w:val="afffffc"/>
    <w:next w:val="afffffc"/>
    <w:link w:val="affffff"/>
    <w:uiPriority w:val="99"/>
    <w:unhideWhenUsed/>
    <w:qFormat/>
    <w:rsid w:val="00D34DB1"/>
    <w:rPr>
      <w:b/>
      <w:bCs/>
    </w:rPr>
  </w:style>
  <w:style w:type="character" w:customStyle="1" w:styleId="affffff">
    <w:name w:val="Тема примечания Знак"/>
    <w:basedOn w:val="afffffd"/>
    <w:link w:val="afffffe"/>
    <w:uiPriority w:val="99"/>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7"/>
    <w:uiPriority w:val="99"/>
    <w:semiHidden/>
    <w:unhideWhenUsed/>
    <w:rsid w:val="00D34DB1"/>
  </w:style>
  <w:style w:type="table" w:customStyle="1" w:styleId="230">
    <w:name w:val="Сетка таблицы2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OC Heading"/>
    <w:basedOn w:val="11"/>
    <w:next w:val="a4"/>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4"/>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uiPriority w:val="99"/>
    <w:semiHidden/>
    <w:unhideWhenUsed/>
    <w:rsid w:val="00D34DB1"/>
  </w:style>
  <w:style w:type="numbering" w:customStyle="1" w:styleId="122">
    <w:name w:val="Нет списка12"/>
    <w:next w:val="a7"/>
    <w:uiPriority w:val="99"/>
    <w:semiHidden/>
    <w:unhideWhenUsed/>
    <w:rsid w:val="00D34DB1"/>
  </w:style>
  <w:style w:type="numbering" w:customStyle="1" w:styleId="215">
    <w:name w:val="Нет списка21"/>
    <w:next w:val="a7"/>
    <w:uiPriority w:val="99"/>
    <w:semiHidden/>
    <w:unhideWhenUsed/>
    <w:rsid w:val="00D34DB1"/>
  </w:style>
  <w:style w:type="numbering" w:customStyle="1" w:styleId="313">
    <w:name w:val="Нет списка31"/>
    <w:next w:val="a7"/>
    <w:uiPriority w:val="99"/>
    <w:semiHidden/>
    <w:unhideWhenUsed/>
    <w:rsid w:val="00D34DB1"/>
  </w:style>
  <w:style w:type="character" w:customStyle="1" w:styleId="st1">
    <w:name w:val="st1"/>
    <w:basedOn w:val="a5"/>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5"/>
    <w:rsid w:val="009541FA"/>
  </w:style>
  <w:style w:type="character" w:customStyle="1" w:styleId="bigtext">
    <w:name w:val="bigtext"/>
    <w:basedOn w:val="a5"/>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1">
    <w:name w:val="Сноска_"/>
    <w:link w:val="1f6"/>
    <w:locked/>
    <w:rsid w:val="009541FA"/>
    <w:rPr>
      <w:b/>
      <w:bCs/>
      <w:shd w:val="clear" w:color="auto" w:fill="FFFFFF"/>
    </w:rPr>
  </w:style>
  <w:style w:type="paragraph" w:customStyle="1" w:styleId="1f6">
    <w:name w:val="Сноска1"/>
    <w:basedOn w:val="a4"/>
    <w:link w:val="affffff1"/>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5"/>
    <w:rsid w:val="009541FA"/>
  </w:style>
  <w:style w:type="character" w:customStyle="1" w:styleId="refresult">
    <w:name w:val="ref_result"/>
    <w:basedOn w:val="a5"/>
    <w:rsid w:val="009541FA"/>
  </w:style>
  <w:style w:type="paragraph" w:customStyle="1" w:styleId="1CharCharCharCharCharChar">
    <w:name w:val="Стиль Знак1 Char Char Знак Char Char Знак Char Char"/>
    <w:basedOn w:val="a4"/>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5"/>
    <w:rsid w:val="002E5C49"/>
  </w:style>
  <w:style w:type="character" w:customStyle="1" w:styleId="blk">
    <w:name w:val="blk"/>
    <w:basedOn w:val="a5"/>
    <w:rsid w:val="002E5C49"/>
  </w:style>
  <w:style w:type="paragraph" w:customStyle="1" w:styleId="affffff2">
    <w:name w:val="АТекст"/>
    <w:basedOn w:val="a4"/>
    <w:link w:val="affffff3"/>
    <w:rsid w:val="002E5C49"/>
    <w:pPr>
      <w:autoSpaceDE/>
      <w:autoSpaceDN/>
      <w:spacing w:line="252" w:lineRule="auto"/>
      <w:ind w:firstLine="397"/>
    </w:pPr>
    <w:rPr>
      <w:sz w:val="28"/>
      <w:szCs w:val="28"/>
    </w:rPr>
  </w:style>
  <w:style w:type="character" w:customStyle="1" w:styleId="affffff3">
    <w:name w:val="АТекст Знак"/>
    <w:link w:val="affffff2"/>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4"/>
    <w:qFormat/>
    <w:rsid w:val="002E5C49"/>
    <w:pPr>
      <w:autoSpaceDE/>
      <w:autoSpaceDN/>
      <w:spacing w:line="360" w:lineRule="auto"/>
      <w:ind w:firstLine="397"/>
    </w:pPr>
    <w:rPr>
      <w:sz w:val="28"/>
      <w:szCs w:val="22"/>
    </w:rPr>
  </w:style>
  <w:style w:type="paragraph" w:customStyle="1" w:styleId="xl70">
    <w:name w:val="xl70"/>
    <w:basedOn w:val="a4"/>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4">
    <w:name w:val="АНа_рис"/>
    <w:link w:val="affffff5"/>
    <w:rsid w:val="002E5C49"/>
    <w:pPr>
      <w:spacing w:line="252" w:lineRule="auto"/>
      <w:jc w:val="center"/>
    </w:pPr>
    <w:rPr>
      <w:sz w:val="24"/>
      <w:szCs w:val="24"/>
    </w:rPr>
  </w:style>
  <w:style w:type="character" w:customStyle="1" w:styleId="affffff5">
    <w:name w:val="АНа_рис Знак"/>
    <w:link w:val="affffff4"/>
    <w:rsid w:val="002E5C49"/>
    <w:rPr>
      <w:sz w:val="24"/>
      <w:szCs w:val="24"/>
    </w:rPr>
  </w:style>
  <w:style w:type="character" w:customStyle="1" w:styleId="anchortext">
    <w:name w:val="anchortext"/>
    <w:basedOn w:val="a5"/>
    <w:rsid w:val="004C0F58"/>
  </w:style>
  <w:style w:type="paragraph" w:customStyle="1" w:styleId="affffff6">
    <w:name w:val="Стиль А"/>
    <w:basedOn w:val="a4"/>
    <w:link w:val="affffff7"/>
    <w:uiPriority w:val="99"/>
    <w:rsid w:val="00BE64E5"/>
    <w:pPr>
      <w:autoSpaceDE/>
      <w:autoSpaceDN/>
      <w:spacing w:line="276" w:lineRule="auto"/>
      <w:ind w:firstLine="709"/>
    </w:pPr>
    <w:rPr>
      <w:sz w:val="26"/>
      <w:szCs w:val="26"/>
      <w:lang w:eastAsia="en-US"/>
    </w:rPr>
  </w:style>
  <w:style w:type="character" w:customStyle="1" w:styleId="affffff7">
    <w:name w:val="Стиль А Знак"/>
    <w:basedOn w:val="a5"/>
    <w:link w:val="affffff6"/>
    <w:uiPriority w:val="99"/>
    <w:locked/>
    <w:rsid w:val="00BE64E5"/>
    <w:rPr>
      <w:sz w:val="26"/>
      <w:szCs w:val="26"/>
      <w:lang w:eastAsia="en-US"/>
    </w:rPr>
  </w:style>
  <w:style w:type="character" w:customStyle="1" w:styleId="size-xl">
    <w:name w:val="size-xl"/>
    <w:basedOn w:val="a5"/>
    <w:rsid w:val="00BE64E5"/>
  </w:style>
  <w:style w:type="character" w:customStyle="1" w:styleId="size-m">
    <w:name w:val="size-m"/>
    <w:basedOn w:val="a5"/>
    <w:rsid w:val="00BE64E5"/>
  </w:style>
  <w:style w:type="paragraph" w:customStyle="1" w:styleId="affffff8">
    <w:name w:val="Знак Знак"/>
    <w:basedOn w:val="a4"/>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7">
    <w:name w:val="цифры1"/>
    <w:basedOn w:val="a4"/>
    <w:rsid w:val="005D577A"/>
    <w:pPr>
      <w:autoSpaceDE/>
      <w:autoSpaceDN/>
      <w:spacing w:before="76"/>
      <w:ind w:right="113"/>
      <w:jc w:val="right"/>
    </w:pPr>
    <w:rPr>
      <w:rFonts w:ascii="JournalRub" w:hAnsi="JournalRub"/>
      <w:sz w:val="16"/>
      <w:szCs w:val="16"/>
    </w:rPr>
  </w:style>
  <w:style w:type="paragraph" w:customStyle="1" w:styleId="xl24">
    <w:name w:val="xl24"/>
    <w:basedOn w:val="a4"/>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4"/>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4"/>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9">
    <w:name w:val="List Number"/>
    <w:basedOn w:val="a4"/>
    <w:rsid w:val="005D577A"/>
    <w:pPr>
      <w:tabs>
        <w:tab w:val="num" w:pos="360"/>
      </w:tabs>
      <w:autoSpaceDE/>
      <w:autoSpaceDN/>
      <w:ind w:left="360" w:hanging="360"/>
      <w:jc w:val="left"/>
    </w:pPr>
  </w:style>
  <w:style w:type="paragraph" w:styleId="2">
    <w:name w:val="List Number 2"/>
    <w:basedOn w:val="a4"/>
    <w:rsid w:val="005D577A"/>
    <w:pPr>
      <w:numPr>
        <w:numId w:val="8"/>
      </w:numPr>
      <w:autoSpaceDE/>
      <w:autoSpaceDN/>
      <w:jc w:val="left"/>
    </w:pPr>
  </w:style>
  <w:style w:type="paragraph" w:styleId="3">
    <w:name w:val="List Number 3"/>
    <w:basedOn w:val="a4"/>
    <w:rsid w:val="005D577A"/>
    <w:pPr>
      <w:numPr>
        <w:numId w:val="7"/>
      </w:numPr>
      <w:autoSpaceDE/>
      <w:autoSpaceDN/>
      <w:jc w:val="left"/>
    </w:pPr>
  </w:style>
  <w:style w:type="paragraph" w:styleId="4">
    <w:name w:val="List Number 4"/>
    <w:basedOn w:val="a4"/>
    <w:rsid w:val="005D577A"/>
    <w:pPr>
      <w:numPr>
        <w:numId w:val="9"/>
      </w:numPr>
      <w:autoSpaceDE/>
      <w:autoSpaceDN/>
      <w:jc w:val="left"/>
    </w:pPr>
  </w:style>
  <w:style w:type="paragraph" w:styleId="5">
    <w:name w:val="List Number 5"/>
    <w:basedOn w:val="a4"/>
    <w:rsid w:val="005D577A"/>
    <w:pPr>
      <w:numPr>
        <w:numId w:val="10"/>
      </w:numPr>
      <w:autoSpaceDE/>
      <w:autoSpaceDN/>
      <w:jc w:val="left"/>
    </w:pPr>
  </w:style>
  <w:style w:type="paragraph" w:customStyle="1" w:styleId="10">
    <w:name w:val="Список 1"/>
    <w:basedOn w:val="a4"/>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9"/>
    <w:link w:val="affffffa"/>
    <w:qFormat/>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b"/>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b">
    <w:name w:val="Абзац"/>
    <w:basedOn w:val="a4"/>
    <w:link w:val="affffffc"/>
    <w:rsid w:val="005D577A"/>
    <w:pPr>
      <w:overflowPunct w:val="0"/>
      <w:adjustRightInd w:val="0"/>
      <w:spacing w:before="120"/>
      <w:ind w:firstLine="1276"/>
      <w:textAlignment w:val="baseline"/>
    </w:pPr>
    <w:rPr>
      <w:sz w:val="16"/>
    </w:rPr>
  </w:style>
  <w:style w:type="paragraph" w:customStyle="1" w:styleId="affffffd">
    <w:name w:val="!!место"/>
    <w:basedOn w:val="a4"/>
    <w:uiPriority w:val="99"/>
    <w:rsid w:val="00CB0590"/>
    <w:pPr>
      <w:autoSpaceDE/>
      <w:autoSpaceDN/>
      <w:contextualSpacing/>
      <w:jc w:val="center"/>
    </w:pPr>
    <w:rPr>
      <w:rFonts w:eastAsia="Calibri"/>
      <w:szCs w:val="24"/>
      <w:lang w:eastAsia="en-US"/>
    </w:rPr>
  </w:style>
  <w:style w:type="paragraph" w:customStyle="1" w:styleId="affffffe">
    <w:name w:val="!!!Аннотация"/>
    <w:basedOn w:val="a4"/>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5"/>
    <w:uiPriority w:val="99"/>
    <w:rsid w:val="00CB0590"/>
    <w:rPr>
      <w:rFonts w:cs="Times New Roman"/>
      <w:color w:val="4682B4"/>
    </w:rPr>
  </w:style>
  <w:style w:type="paragraph" w:styleId="afffffff">
    <w:name w:val="List Bullet"/>
    <w:basedOn w:val="a4"/>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0">
    <w:name w:val="Body Text First Indent"/>
    <w:basedOn w:val="af9"/>
    <w:link w:val="afffffff1"/>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5"/>
    <w:link w:val="af9"/>
    <w:uiPriority w:val="99"/>
    <w:rsid w:val="00181783"/>
    <w:rPr>
      <w:i/>
      <w:iCs/>
      <w:sz w:val="28"/>
      <w:szCs w:val="28"/>
    </w:rPr>
  </w:style>
  <w:style w:type="character" w:customStyle="1" w:styleId="afffffff1">
    <w:name w:val="Красная строка Знак"/>
    <w:basedOn w:val="26"/>
    <w:link w:val="afffffff0"/>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5"/>
    <w:rsid w:val="00181783"/>
  </w:style>
  <w:style w:type="character" w:customStyle="1" w:styleId="Bodytext">
    <w:name w:val="Body text_"/>
    <w:basedOn w:val="a5"/>
    <w:link w:val="2c"/>
    <w:rsid w:val="003478D5"/>
    <w:rPr>
      <w:spacing w:val="6"/>
      <w:sz w:val="16"/>
      <w:szCs w:val="16"/>
      <w:shd w:val="clear" w:color="auto" w:fill="FFFFFF"/>
    </w:rPr>
  </w:style>
  <w:style w:type="character" w:customStyle="1" w:styleId="1f8">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4"/>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5"/>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5"/>
    <w:link w:val="Bodytext30"/>
    <w:rsid w:val="003478D5"/>
    <w:rPr>
      <w:spacing w:val="5"/>
      <w:sz w:val="12"/>
      <w:szCs w:val="12"/>
      <w:shd w:val="clear" w:color="auto" w:fill="FFFFFF"/>
    </w:rPr>
  </w:style>
  <w:style w:type="paragraph" w:customStyle="1" w:styleId="Bodytext30">
    <w:name w:val="Body text (3)"/>
    <w:basedOn w:val="a4"/>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5"/>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5"/>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2">
    <w:name w:val="обычный"/>
    <w:basedOn w:val="a4"/>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9"/>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4"/>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4"/>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5"/>
    <w:rsid w:val="004C6F51"/>
  </w:style>
  <w:style w:type="paragraph" w:customStyle="1" w:styleId="p19">
    <w:name w:val="p19"/>
    <w:basedOn w:val="a4"/>
    <w:rsid w:val="004C6F51"/>
    <w:pPr>
      <w:autoSpaceDE/>
      <w:autoSpaceDN/>
      <w:spacing w:before="100" w:beforeAutospacing="1" w:after="100" w:afterAutospacing="1"/>
      <w:jc w:val="left"/>
    </w:pPr>
    <w:rPr>
      <w:sz w:val="24"/>
      <w:szCs w:val="24"/>
    </w:rPr>
  </w:style>
  <w:style w:type="character" w:customStyle="1" w:styleId="s5">
    <w:name w:val="s5"/>
    <w:basedOn w:val="a5"/>
    <w:rsid w:val="004C6F51"/>
  </w:style>
  <w:style w:type="character" w:customStyle="1" w:styleId="s10">
    <w:name w:val="s10"/>
    <w:basedOn w:val="a5"/>
    <w:rsid w:val="004C6F51"/>
  </w:style>
  <w:style w:type="character" w:customStyle="1" w:styleId="extended-textfull">
    <w:name w:val="extended-text__full"/>
    <w:basedOn w:val="a5"/>
    <w:rsid w:val="004371DE"/>
  </w:style>
  <w:style w:type="character" w:customStyle="1" w:styleId="1f9">
    <w:name w:val="Текст примечания Знак1"/>
    <w:basedOn w:val="a5"/>
    <w:uiPriority w:val="99"/>
    <w:semiHidden/>
    <w:rsid w:val="00180C32"/>
    <w:rPr>
      <w:lang w:eastAsia="en-US"/>
    </w:rPr>
  </w:style>
  <w:style w:type="character" w:customStyle="1" w:styleId="1fa">
    <w:name w:val="Тема примечания Знак1"/>
    <w:basedOn w:val="1f9"/>
    <w:uiPriority w:val="99"/>
    <w:semiHidden/>
    <w:rsid w:val="00180C32"/>
    <w:rPr>
      <w:b/>
      <w:bCs/>
      <w:lang w:eastAsia="en-US"/>
    </w:rPr>
  </w:style>
  <w:style w:type="character" w:customStyle="1" w:styleId="1fb">
    <w:name w:val="Верхний колонтитул Знак1"/>
    <w:basedOn w:val="a5"/>
    <w:uiPriority w:val="99"/>
    <w:semiHidden/>
    <w:rsid w:val="00180C32"/>
    <w:rPr>
      <w:sz w:val="22"/>
      <w:szCs w:val="22"/>
      <w:lang w:eastAsia="en-US"/>
    </w:rPr>
  </w:style>
  <w:style w:type="character" w:customStyle="1" w:styleId="1fc">
    <w:name w:val="Нижний колонтитул Знак1"/>
    <w:basedOn w:val="a5"/>
    <w:uiPriority w:val="99"/>
    <w:semiHidden/>
    <w:rsid w:val="00180C32"/>
    <w:rPr>
      <w:sz w:val="22"/>
      <w:szCs w:val="22"/>
      <w:lang w:eastAsia="en-US"/>
    </w:rPr>
  </w:style>
  <w:style w:type="character" w:customStyle="1" w:styleId="1fd">
    <w:name w:val="Текст концевой сноски Знак1"/>
    <w:basedOn w:val="a5"/>
    <w:uiPriority w:val="99"/>
    <w:semiHidden/>
    <w:rsid w:val="00180C32"/>
    <w:rPr>
      <w:lang w:eastAsia="en-US"/>
    </w:rPr>
  </w:style>
  <w:style w:type="character" w:customStyle="1" w:styleId="1fe">
    <w:name w:val="Текст выноски Знак1"/>
    <w:basedOn w:val="a5"/>
    <w:uiPriority w:val="99"/>
    <w:semiHidden/>
    <w:rsid w:val="00180C32"/>
    <w:rPr>
      <w:rFonts w:ascii="Tahoma" w:hAnsi="Tahoma" w:cs="Tahoma"/>
      <w:sz w:val="16"/>
      <w:szCs w:val="16"/>
      <w:lang w:eastAsia="en-US"/>
    </w:rPr>
  </w:style>
  <w:style w:type="character" w:customStyle="1" w:styleId="1ff">
    <w:name w:val="Основной текст с отступом Знак1"/>
    <w:basedOn w:val="a5"/>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5"/>
    <w:rsid w:val="00180C32"/>
  </w:style>
  <w:style w:type="paragraph" w:customStyle="1" w:styleId="afffffff3">
    <w:name w:val="Загол"/>
    <w:basedOn w:val="a4"/>
    <w:next w:val="a4"/>
    <w:rsid w:val="00A15979"/>
    <w:pPr>
      <w:keepNext/>
      <w:autoSpaceDE/>
      <w:autoSpaceDN/>
      <w:spacing w:before="120" w:after="120"/>
      <w:jc w:val="center"/>
      <w:outlineLvl w:val="0"/>
    </w:pPr>
    <w:rPr>
      <w:rFonts w:cs="Arial"/>
      <w:b/>
      <w:bCs/>
      <w:kern w:val="32"/>
      <w:sz w:val="28"/>
      <w:szCs w:val="32"/>
    </w:rPr>
  </w:style>
  <w:style w:type="character" w:customStyle="1" w:styleId="affffffc">
    <w:name w:val="Абзац Знак"/>
    <w:link w:val="affffffb"/>
    <w:locked/>
    <w:rsid w:val="00A15979"/>
    <w:rPr>
      <w:sz w:val="16"/>
    </w:rPr>
  </w:style>
  <w:style w:type="paragraph" w:customStyle="1" w:styleId="314">
    <w:name w:val="Основной текст 31"/>
    <w:basedOn w:val="a4"/>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4"/>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4"/>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0">
    <w:name w:val="Текст сноски1"/>
    <w:basedOn w:val="a4"/>
    <w:next w:val="af6"/>
    <w:uiPriority w:val="99"/>
    <w:semiHidden/>
    <w:unhideWhenUsed/>
    <w:rsid w:val="0034173F"/>
    <w:pPr>
      <w:autoSpaceDE/>
      <w:autoSpaceDN/>
      <w:ind w:firstLine="2364"/>
    </w:pPr>
    <w:rPr>
      <w:rFonts w:ascii="Calibri" w:eastAsia="Calibri" w:hAnsi="Calibri"/>
    </w:rPr>
  </w:style>
  <w:style w:type="table" w:styleId="1ff1">
    <w:name w:val="Table Simple 1"/>
    <w:basedOn w:val="a6"/>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6"/>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6"/>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4"/>
    <w:next w:val="a4"/>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4">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4"/>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4"/>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4"/>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4"/>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4"/>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4"/>
    <w:rsid w:val="0034173F"/>
    <w:pPr>
      <w:autoSpaceDE/>
      <w:autoSpaceDN/>
      <w:ind w:firstLine="397"/>
    </w:pPr>
    <w:rPr>
      <w:rFonts w:ascii="Arial" w:hAnsi="Arial"/>
      <w:sz w:val="28"/>
    </w:rPr>
  </w:style>
  <w:style w:type="paragraph" w:customStyle="1" w:styleId="315">
    <w:name w:val="Оглавление 31"/>
    <w:basedOn w:val="a4"/>
    <w:next w:val="a4"/>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7"/>
    <w:uiPriority w:val="99"/>
    <w:semiHidden/>
    <w:unhideWhenUsed/>
    <w:rsid w:val="0034173F"/>
  </w:style>
  <w:style w:type="numbering" w:customStyle="1" w:styleId="11110">
    <w:name w:val="Нет списка1111"/>
    <w:next w:val="a7"/>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6"/>
    <w:next w:val="1ff1"/>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5">
    <w:name w:val="Document Map"/>
    <w:basedOn w:val="a4"/>
    <w:link w:val="afffffff6"/>
    <w:uiPriority w:val="99"/>
    <w:semiHidden/>
    <w:unhideWhenUsed/>
    <w:rsid w:val="0034173F"/>
    <w:pPr>
      <w:autoSpaceDE/>
      <w:autoSpaceDN/>
      <w:ind w:firstLine="397"/>
    </w:pPr>
    <w:rPr>
      <w:rFonts w:ascii="Tahoma" w:eastAsia="Calibri" w:hAnsi="Tahoma" w:cs="Tahoma"/>
      <w:sz w:val="16"/>
      <w:szCs w:val="16"/>
    </w:rPr>
  </w:style>
  <w:style w:type="character" w:customStyle="1" w:styleId="afffffff6">
    <w:name w:val="Схема документа Знак"/>
    <w:basedOn w:val="a5"/>
    <w:link w:val="afffffff5"/>
    <w:uiPriority w:val="99"/>
    <w:semiHidden/>
    <w:rsid w:val="0034173F"/>
    <w:rPr>
      <w:rFonts w:ascii="Tahoma" w:eastAsia="Calibri" w:hAnsi="Tahoma" w:cs="Tahoma"/>
      <w:sz w:val="16"/>
      <w:szCs w:val="16"/>
    </w:rPr>
  </w:style>
  <w:style w:type="paragraph" w:customStyle="1" w:styleId="xl65">
    <w:name w:val="xl65"/>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2">
    <w:name w:val="Стиль1"/>
    <w:basedOn w:val="a4"/>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5"/>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4"/>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4"/>
    <w:next w:val="a4"/>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4"/>
    <w:next w:val="a4"/>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4"/>
    <w:next w:val="a4"/>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4"/>
    <w:next w:val="a4"/>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4"/>
    <w:next w:val="a4"/>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3">
    <w:name w:val="Строгий1"/>
    <w:basedOn w:val="a5"/>
    <w:uiPriority w:val="99"/>
    <w:qFormat/>
    <w:rsid w:val="007B0D4E"/>
    <w:rPr>
      <w:b/>
      <w:bCs/>
      <w:color w:val="667088"/>
    </w:rPr>
  </w:style>
  <w:style w:type="character" w:customStyle="1" w:styleId="1ff4">
    <w:name w:val="Выделение1"/>
    <w:basedOn w:val="a5"/>
    <w:uiPriority w:val="20"/>
    <w:qFormat/>
    <w:rsid w:val="007B0D4E"/>
    <w:rPr>
      <w:b w:val="0"/>
      <w:i/>
      <w:iCs/>
      <w:color w:val="5A6378"/>
    </w:rPr>
  </w:style>
  <w:style w:type="paragraph" w:customStyle="1" w:styleId="1ff5">
    <w:name w:val="Название объекта1"/>
    <w:basedOn w:val="a4"/>
    <w:next w:val="a4"/>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6">
    <w:name w:val="Название1"/>
    <w:basedOn w:val="a4"/>
    <w:next w:val="a4"/>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7">
    <w:name w:val="Подзаголовок1"/>
    <w:basedOn w:val="a4"/>
    <w:next w:val="a4"/>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1">
    <w:name w:val="Подзаголовок Знак"/>
    <w:basedOn w:val="a5"/>
    <w:link w:val="af0"/>
    <w:rsid w:val="007B0D4E"/>
    <w:rPr>
      <w:sz w:val="28"/>
      <w:szCs w:val="28"/>
    </w:rPr>
  </w:style>
  <w:style w:type="paragraph" w:customStyle="1" w:styleId="216">
    <w:name w:val="Цитата 21"/>
    <w:basedOn w:val="a4"/>
    <w:next w:val="a4"/>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5"/>
    <w:link w:val="2f0"/>
    <w:uiPriority w:val="29"/>
    <w:rsid w:val="007B0D4E"/>
    <w:rPr>
      <w:rFonts w:ascii="Book Antiqua" w:hAnsi="Book Antiqua"/>
      <w:b/>
      <w:i/>
      <w:iCs/>
      <w:color w:val="F0AD00"/>
      <w:lang w:bidi="hi-IN"/>
    </w:rPr>
  </w:style>
  <w:style w:type="paragraph" w:customStyle="1" w:styleId="1ff8">
    <w:name w:val="Выделенная цитата1"/>
    <w:basedOn w:val="a4"/>
    <w:next w:val="a4"/>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7">
    <w:name w:val="Выделенная цитата Знак"/>
    <w:basedOn w:val="a5"/>
    <w:link w:val="afffffff8"/>
    <w:uiPriority w:val="30"/>
    <w:rsid w:val="007B0D4E"/>
    <w:rPr>
      <w:b/>
      <w:bCs/>
      <w:i/>
      <w:iCs/>
      <w:color w:val="60B5CC"/>
      <w:sz w:val="26"/>
      <w:lang w:bidi="hi-IN"/>
    </w:rPr>
  </w:style>
  <w:style w:type="character" w:styleId="afffffff9">
    <w:name w:val="Subtle Emphasis"/>
    <w:basedOn w:val="a5"/>
    <w:uiPriority w:val="19"/>
    <w:qFormat/>
    <w:rsid w:val="007B0D4E"/>
    <w:rPr>
      <w:i/>
      <w:iCs/>
      <w:color w:val="000000"/>
    </w:rPr>
  </w:style>
  <w:style w:type="character" w:customStyle="1" w:styleId="1ff9">
    <w:name w:val="Сильное выделение1"/>
    <w:basedOn w:val="a5"/>
    <w:uiPriority w:val="21"/>
    <w:qFormat/>
    <w:rsid w:val="007B0D4E"/>
    <w:rPr>
      <w:b/>
      <w:bCs/>
      <w:i/>
      <w:iCs/>
      <w:color w:val="5A6378"/>
    </w:rPr>
  </w:style>
  <w:style w:type="character" w:styleId="afffffffa">
    <w:name w:val="Subtle Reference"/>
    <w:basedOn w:val="a5"/>
    <w:uiPriority w:val="31"/>
    <w:qFormat/>
    <w:rsid w:val="007B0D4E"/>
    <w:rPr>
      <w:smallCaps/>
      <w:color w:val="000000"/>
      <w:u w:val="single"/>
    </w:rPr>
  </w:style>
  <w:style w:type="character" w:customStyle="1" w:styleId="1ffa">
    <w:name w:val="Сильная ссылка1"/>
    <w:basedOn w:val="a5"/>
    <w:uiPriority w:val="32"/>
    <w:qFormat/>
    <w:rsid w:val="007B0D4E"/>
    <w:rPr>
      <w:rFonts w:ascii="Century Gothic" w:hAnsi="Century Gothic"/>
      <w:b/>
      <w:bCs/>
      <w:smallCaps/>
      <w:color w:val="5A6378"/>
      <w:spacing w:val="5"/>
      <w:sz w:val="22"/>
      <w:u w:val="single"/>
    </w:rPr>
  </w:style>
  <w:style w:type="character" w:customStyle="1" w:styleId="1ffb">
    <w:name w:val="Название книги1"/>
    <w:basedOn w:val="a5"/>
    <w:uiPriority w:val="33"/>
    <w:qFormat/>
    <w:rsid w:val="007B0D4E"/>
    <w:rPr>
      <w:rFonts w:ascii="Book Antiqua" w:hAnsi="Book Antiqua"/>
      <w:b/>
      <w:bCs/>
      <w:caps w:val="0"/>
      <w:smallCaps/>
      <w:color w:val="5A6378"/>
      <w:spacing w:val="10"/>
      <w:sz w:val="22"/>
    </w:rPr>
  </w:style>
  <w:style w:type="paragraph" w:customStyle="1" w:styleId="afffffffb">
    <w:name w:val="Мой стиль"/>
    <w:basedOn w:val="11"/>
    <w:link w:val="afffffffc"/>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c">
    <w:name w:val="Мой стиль Знак"/>
    <w:basedOn w:val="13"/>
    <w:link w:val="afffffffb"/>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5"/>
    <w:rsid w:val="007B0D4E"/>
  </w:style>
  <w:style w:type="character" w:customStyle="1" w:styleId="citation">
    <w:name w:val="citation"/>
    <w:basedOn w:val="a5"/>
    <w:rsid w:val="007B0D4E"/>
  </w:style>
  <w:style w:type="character" w:styleId="HTML1">
    <w:name w:val="HTML Cite"/>
    <w:basedOn w:val="a5"/>
    <w:uiPriority w:val="99"/>
    <w:semiHidden/>
    <w:unhideWhenUsed/>
    <w:rsid w:val="007B0D4E"/>
    <w:rPr>
      <w:i/>
      <w:iCs/>
    </w:rPr>
  </w:style>
  <w:style w:type="table" w:customStyle="1" w:styleId="1ffc">
    <w:name w:val="Светлая заливка1"/>
    <w:basedOn w:val="a6"/>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5"/>
    <w:rsid w:val="007B0D4E"/>
    <w:rPr>
      <w:rFonts w:ascii="Arial" w:hAnsi="Arial" w:cs="Arial" w:hint="default"/>
      <w:b/>
      <w:bCs/>
      <w:i w:val="0"/>
      <w:iCs w:val="0"/>
      <w:color w:val="000066"/>
      <w:sz w:val="24"/>
      <w:szCs w:val="24"/>
    </w:rPr>
  </w:style>
  <w:style w:type="character" w:customStyle="1" w:styleId="pageheading">
    <w:name w:val="pageheading"/>
    <w:basedOn w:val="a5"/>
    <w:rsid w:val="007B0D4E"/>
  </w:style>
  <w:style w:type="character" w:customStyle="1" w:styleId="b-message-heademail">
    <w:name w:val="b-message-head__email"/>
    <w:basedOn w:val="a5"/>
    <w:rsid w:val="007B0D4E"/>
  </w:style>
  <w:style w:type="paragraph" w:customStyle="1" w:styleId="rvps698610">
    <w:name w:val="rvps698610"/>
    <w:basedOn w:val="a4"/>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4"/>
    <w:next w:val="a4"/>
    <w:rsid w:val="007B0D4E"/>
    <w:pPr>
      <w:adjustRightInd w:val="0"/>
      <w:jc w:val="left"/>
    </w:pPr>
    <w:rPr>
      <w:sz w:val="24"/>
      <w:szCs w:val="24"/>
    </w:rPr>
  </w:style>
  <w:style w:type="character" w:customStyle="1" w:styleId="1ffd">
    <w:name w:val="Просмотренная гиперссылка1"/>
    <w:basedOn w:val="a5"/>
    <w:uiPriority w:val="99"/>
    <w:semiHidden/>
    <w:unhideWhenUsed/>
    <w:rsid w:val="007B0D4E"/>
    <w:rPr>
      <w:color w:val="680000"/>
      <w:u w:val="single"/>
    </w:rPr>
  </w:style>
  <w:style w:type="character" w:customStyle="1" w:styleId="c1">
    <w:name w:val="c1"/>
    <w:basedOn w:val="a5"/>
    <w:rsid w:val="007B0D4E"/>
  </w:style>
  <w:style w:type="character" w:customStyle="1" w:styleId="reference-text">
    <w:name w:val="reference-text"/>
    <w:basedOn w:val="a5"/>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4"/>
    <w:next w:val="a4"/>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4"/>
    <w:next w:val="a4"/>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4"/>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5"/>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5"/>
    <w:rsid w:val="007B0D4E"/>
  </w:style>
  <w:style w:type="character" w:customStyle="1" w:styleId="vol-issue-comma">
    <w:name w:val="vol-issue-comma"/>
    <w:basedOn w:val="a5"/>
    <w:rsid w:val="007B0D4E"/>
  </w:style>
  <w:style w:type="character" w:customStyle="1" w:styleId="issue-value">
    <w:name w:val="issue-value"/>
    <w:basedOn w:val="a5"/>
    <w:rsid w:val="007B0D4E"/>
  </w:style>
  <w:style w:type="character" w:customStyle="1" w:styleId="slug-pages">
    <w:name w:val="slug-pages"/>
    <w:basedOn w:val="a5"/>
    <w:rsid w:val="007B0D4E"/>
  </w:style>
  <w:style w:type="character" w:customStyle="1" w:styleId="Bodytext14">
    <w:name w:val="Body text (14)_"/>
    <w:basedOn w:val="a5"/>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4"/>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5"/>
    <w:rsid w:val="007B0D4E"/>
  </w:style>
  <w:style w:type="paragraph" w:customStyle="1" w:styleId="Char1CharCharCharChar">
    <w:name w:val="Char Знак Знак1 Char Знак Знак Char Знак Знак Char Знак Знак Char Знак Знак Знак Знак"/>
    <w:basedOn w:val="a4"/>
    <w:rsid w:val="007B0D4E"/>
    <w:pPr>
      <w:pageBreakBefore/>
      <w:autoSpaceDE/>
      <w:autoSpaceDN/>
      <w:spacing w:after="160" w:line="360" w:lineRule="auto"/>
      <w:jc w:val="left"/>
    </w:pPr>
    <w:rPr>
      <w:sz w:val="28"/>
      <w:lang w:val="en-US" w:eastAsia="en-US"/>
    </w:rPr>
  </w:style>
  <w:style w:type="character" w:customStyle="1" w:styleId="afff7">
    <w:name w:val="Текст Знак"/>
    <w:basedOn w:val="a5"/>
    <w:link w:val="afff6"/>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4"/>
    <w:rsid w:val="007B0D4E"/>
    <w:pPr>
      <w:autoSpaceDE/>
      <w:autoSpaceDN/>
      <w:jc w:val="left"/>
    </w:pPr>
    <w:rPr>
      <w:rFonts w:ascii="Verdana" w:hAnsi="Verdana" w:cs="Verdana"/>
      <w:lang w:val="en-US" w:eastAsia="en-US"/>
    </w:rPr>
  </w:style>
  <w:style w:type="paragraph" w:customStyle="1" w:styleId="afffffffd">
    <w:name w:val="Рисунок в диплом"/>
    <w:basedOn w:val="HTML"/>
    <w:link w:val="afffffffe"/>
    <w:qFormat/>
    <w:rsid w:val="007B0D4E"/>
  </w:style>
  <w:style w:type="character" w:customStyle="1" w:styleId="afffffffe">
    <w:name w:val="Рисунок в диплом Знак"/>
    <w:link w:val="afffffffd"/>
    <w:rsid w:val="007B0D4E"/>
    <w:rPr>
      <w:rFonts w:ascii="Courier New" w:hAnsi="Courier New"/>
    </w:rPr>
  </w:style>
  <w:style w:type="character" w:customStyle="1" w:styleId="w">
    <w:name w:val="w"/>
    <w:rsid w:val="007B0D4E"/>
  </w:style>
  <w:style w:type="character" w:customStyle="1" w:styleId="412">
    <w:name w:val="Заголовок 4 Знак1"/>
    <w:basedOn w:val="a5"/>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5"/>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5"/>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5"/>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5"/>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e">
    <w:name w:val="Название Знак1"/>
    <w:basedOn w:val="a5"/>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
    <w:name w:val="Подзаголовок Знак1"/>
    <w:basedOn w:val="a5"/>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4"/>
    <w:next w:val="a4"/>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5"/>
    <w:uiPriority w:val="29"/>
    <w:rsid w:val="007B0D4E"/>
    <w:rPr>
      <w:i/>
      <w:iCs/>
      <w:color w:val="000000" w:themeColor="text1"/>
    </w:rPr>
  </w:style>
  <w:style w:type="paragraph" w:styleId="afffffff8">
    <w:name w:val="Intense Quote"/>
    <w:basedOn w:val="a4"/>
    <w:next w:val="a4"/>
    <w:link w:val="afffffff7"/>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0">
    <w:name w:val="Выделенная цитата Знак1"/>
    <w:basedOn w:val="a5"/>
    <w:uiPriority w:val="30"/>
    <w:rsid w:val="007B0D4E"/>
    <w:rPr>
      <w:b/>
      <w:bCs/>
      <w:i/>
      <w:iCs/>
      <w:color w:val="4F81BD" w:themeColor="accent1"/>
    </w:rPr>
  </w:style>
  <w:style w:type="character" w:styleId="affffffff">
    <w:name w:val="Intense Emphasis"/>
    <w:basedOn w:val="a5"/>
    <w:uiPriority w:val="21"/>
    <w:qFormat/>
    <w:rsid w:val="007B0D4E"/>
    <w:rPr>
      <w:b/>
      <w:bCs/>
      <w:i/>
      <w:iCs/>
      <w:color w:val="4F81BD" w:themeColor="accent1"/>
    </w:rPr>
  </w:style>
  <w:style w:type="character" w:styleId="affffffff0">
    <w:name w:val="Intense Reference"/>
    <w:basedOn w:val="a5"/>
    <w:uiPriority w:val="32"/>
    <w:qFormat/>
    <w:rsid w:val="007B0D4E"/>
    <w:rPr>
      <w:b/>
      <w:bCs/>
      <w:smallCaps/>
      <w:color w:val="C0504D" w:themeColor="accent2"/>
      <w:spacing w:val="5"/>
      <w:u w:val="single"/>
    </w:rPr>
  </w:style>
  <w:style w:type="character" w:styleId="affffffff1">
    <w:name w:val="Book Title"/>
    <w:basedOn w:val="a5"/>
    <w:uiPriority w:val="33"/>
    <w:qFormat/>
    <w:rsid w:val="007B0D4E"/>
    <w:rPr>
      <w:b/>
      <w:bCs/>
      <w:smallCaps/>
      <w:spacing w:val="5"/>
    </w:rPr>
  </w:style>
  <w:style w:type="table" w:customStyle="1" w:styleId="2f1">
    <w:name w:val="Светлая заливка2"/>
    <w:basedOn w:val="a6"/>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4"/>
    <w:rsid w:val="0059683F"/>
    <w:pPr>
      <w:autoSpaceDE/>
      <w:autoSpaceDN/>
      <w:spacing w:before="100" w:beforeAutospacing="1" w:after="100" w:afterAutospacing="1"/>
      <w:jc w:val="left"/>
    </w:pPr>
    <w:rPr>
      <w:sz w:val="24"/>
      <w:szCs w:val="24"/>
    </w:rPr>
  </w:style>
  <w:style w:type="paragraph" w:customStyle="1" w:styleId="nova-e-listitem">
    <w:name w:val="nova-e-list__item"/>
    <w:basedOn w:val="a4"/>
    <w:rsid w:val="003B1D4A"/>
    <w:pPr>
      <w:autoSpaceDE/>
      <w:autoSpaceDN/>
      <w:spacing w:before="100" w:beforeAutospacing="1" w:after="100" w:afterAutospacing="1"/>
      <w:jc w:val="left"/>
    </w:pPr>
    <w:rPr>
      <w:sz w:val="24"/>
      <w:szCs w:val="24"/>
    </w:rPr>
  </w:style>
  <w:style w:type="paragraph" w:customStyle="1" w:styleId="im-mess">
    <w:name w:val="im-mess"/>
    <w:basedOn w:val="a4"/>
    <w:rsid w:val="003B1D4A"/>
    <w:pPr>
      <w:autoSpaceDE/>
      <w:autoSpaceDN/>
      <w:spacing w:before="100" w:beforeAutospacing="1" w:after="100" w:afterAutospacing="1"/>
      <w:jc w:val="left"/>
    </w:pPr>
    <w:rPr>
      <w:sz w:val="24"/>
      <w:szCs w:val="24"/>
    </w:rPr>
  </w:style>
  <w:style w:type="character" w:customStyle="1" w:styleId="1fff1">
    <w:name w:val="Неразрешенное упоминание1"/>
    <w:basedOn w:val="a5"/>
    <w:uiPriority w:val="99"/>
    <w:semiHidden/>
    <w:unhideWhenUsed/>
    <w:rsid w:val="003B1D4A"/>
    <w:rPr>
      <w:color w:val="605E5C"/>
      <w:shd w:val="clear" w:color="auto" w:fill="E1DFDD"/>
    </w:rPr>
  </w:style>
  <w:style w:type="character" w:customStyle="1" w:styleId="2f2">
    <w:name w:val="Неразрешенное упоминание2"/>
    <w:basedOn w:val="a5"/>
    <w:uiPriority w:val="99"/>
    <w:semiHidden/>
    <w:unhideWhenUsed/>
    <w:rsid w:val="003B1D4A"/>
    <w:rPr>
      <w:color w:val="605E5C"/>
      <w:shd w:val="clear" w:color="auto" w:fill="E1DFDD"/>
    </w:rPr>
  </w:style>
  <w:style w:type="character" w:customStyle="1" w:styleId="3a">
    <w:name w:val="Неразрешенное упоминание3"/>
    <w:basedOn w:val="a5"/>
    <w:uiPriority w:val="99"/>
    <w:semiHidden/>
    <w:unhideWhenUsed/>
    <w:rsid w:val="003B1D4A"/>
    <w:rPr>
      <w:color w:val="605E5C"/>
      <w:shd w:val="clear" w:color="auto" w:fill="E1DFDD"/>
    </w:rPr>
  </w:style>
  <w:style w:type="character" w:customStyle="1" w:styleId="47">
    <w:name w:val="Неразрешенное упоминание4"/>
    <w:basedOn w:val="a5"/>
    <w:uiPriority w:val="99"/>
    <w:semiHidden/>
    <w:unhideWhenUsed/>
    <w:rsid w:val="003B1D4A"/>
    <w:rPr>
      <w:color w:val="605E5C"/>
      <w:shd w:val="clear" w:color="auto" w:fill="E1DFDD"/>
    </w:rPr>
  </w:style>
  <w:style w:type="character" w:customStyle="1" w:styleId="currentdocdiv">
    <w:name w:val="currentdocdiv"/>
    <w:basedOn w:val="a5"/>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5"/>
    <w:rsid w:val="004843DE"/>
  </w:style>
  <w:style w:type="character" w:customStyle="1" w:styleId="59">
    <w:name w:val="Неразрешенное упоминание5"/>
    <w:basedOn w:val="a5"/>
    <w:uiPriority w:val="99"/>
    <w:semiHidden/>
    <w:unhideWhenUsed/>
    <w:rsid w:val="004843DE"/>
    <w:rPr>
      <w:color w:val="605E5C"/>
      <w:shd w:val="clear" w:color="auto" w:fill="E1DFDD"/>
    </w:rPr>
  </w:style>
  <w:style w:type="paragraph" w:customStyle="1" w:styleId="r-default">
    <w:name w:val="r-default"/>
    <w:basedOn w:val="a4"/>
    <w:rsid w:val="000220F2"/>
    <w:pPr>
      <w:autoSpaceDE/>
      <w:autoSpaceDN/>
      <w:spacing w:before="100" w:beforeAutospacing="1" w:after="100" w:afterAutospacing="1"/>
      <w:jc w:val="left"/>
    </w:pPr>
    <w:rPr>
      <w:sz w:val="24"/>
      <w:szCs w:val="24"/>
    </w:rPr>
  </w:style>
  <w:style w:type="character" w:customStyle="1" w:styleId="label">
    <w:name w:val="label"/>
    <w:basedOn w:val="a5"/>
    <w:rsid w:val="000220F2"/>
  </w:style>
  <w:style w:type="character" w:customStyle="1" w:styleId="nowrap">
    <w:name w:val="nowrap"/>
    <w:basedOn w:val="a5"/>
    <w:rsid w:val="000220F2"/>
  </w:style>
  <w:style w:type="character" w:customStyle="1" w:styleId="element">
    <w:name w:val="element"/>
    <w:basedOn w:val="a5"/>
    <w:rsid w:val="000220F2"/>
  </w:style>
  <w:style w:type="character" w:customStyle="1" w:styleId="value">
    <w:name w:val="value"/>
    <w:basedOn w:val="a5"/>
    <w:rsid w:val="000220F2"/>
  </w:style>
  <w:style w:type="character" w:customStyle="1" w:styleId="nlmarticle-title">
    <w:name w:val="nlm_article-title"/>
    <w:basedOn w:val="a5"/>
    <w:rsid w:val="008477B2"/>
  </w:style>
  <w:style w:type="character" w:customStyle="1" w:styleId="issue-heading">
    <w:name w:val="issue-heading"/>
    <w:basedOn w:val="a5"/>
    <w:rsid w:val="008477B2"/>
  </w:style>
  <w:style w:type="character" w:customStyle="1" w:styleId="specialtitle">
    <w:name w:val="specialtitle"/>
    <w:basedOn w:val="a5"/>
    <w:rsid w:val="008477B2"/>
  </w:style>
  <w:style w:type="character" w:customStyle="1" w:styleId="current-issueparent-item">
    <w:name w:val="current-issue__parent-item"/>
    <w:basedOn w:val="a5"/>
    <w:rsid w:val="008477B2"/>
  </w:style>
  <w:style w:type="character" w:customStyle="1" w:styleId="current-issuedate">
    <w:name w:val="current-issue__date"/>
    <w:basedOn w:val="a5"/>
    <w:rsid w:val="008477B2"/>
  </w:style>
  <w:style w:type="paragraph" w:customStyle="1" w:styleId="post-date">
    <w:name w:val="post-date"/>
    <w:basedOn w:val="a4"/>
    <w:rsid w:val="008477B2"/>
    <w:pPr>
      <w:autoSpaceDE/>
      <w:autoSpaceDN/>
      <w:spacing w:before="100" w:beforeAutospacing="1" w:after="100" w:afterAutospacing="1"/>
      <w:jc w:val="left"/>
    </w:pPr>
    <w:rPr>
      <w:sz w:val="24"/>
      <w:szCs w:val="24"/>
    </w:rPr>
  </w:style>
  <w:style w:type="character" w:customStyle="1" w:styleId="italic">
    <w:name w:val="italic"/>
    <w:basedOn w:val="a5"/>
    <w:rsid w:val="008477B2"/>
  </w:style>
  <w:style w:type="character" w:customStyle="1" w:styleId="contribdegrees">
    <w:name w:val="contribdegrees"/>
    <w:basedOn w:val="a5"/>
    <w:rsid w:val="008477B2"/>
  </w:style>
  <w:style w:type="character" w:customStyle="1" w:styleId="publicationcontentepubdate">
    <w:name w:val="publicationcontentepubdate"/>
    <w:basedOn w:val="a5"/>
    <w:rsid w:val="008477B2"/>
  </w:style>
  <w:style w:type="character" w:customStyle="1" w:styleId="articletype">
    <w:name w:val="articletype"/>
    <w:basedOn w:val="a5"/>
    <w:rsid w:val="008477B2"/>
  </w:style>
  <w:style w:type="paragraph" w:customStyle="1" w:styleId="paper-meta-item">
    <w:name w:val="paper-meta-item"/>
    <w:basedOn w:val="a4"/>
    <w:rsid w:val="008477B2"/>
    <w:pPr>
      <w:autoSpaceDE/>
      <w:autoSpaceDN/>
      <w:spacing w:before="100" w:beforeAutospacing="1" w:after="100" w:afterAutospacing="1"/>
      <w:jc w:val="left"/>
    </w:pPr>
    <w:rPr>
      <w:sz w:val="24"/>
      <w:szCs w:val="24"/>
    </w:rPr>
  </w:style>
  <w:style w:type="character" w:customStyle="1" w:styleId="author-list">
    <w:name w:val="author-list"/>
    <w:basedOn w:val="a5"/>
    <w:rsid w:val="008477B2"/>
  </w:style>
  <w:style w:type="paragraph" w:customStyle="1" w:styleId="nova-legacy-e-listitem">
    <w:name w:val="nova-legacy-e-list__item"/>
    <w:basedOn w:val="a4"/>
    <w:rsid w:val="008477B2"/>
    <w:pPr>
      <w:autoSpaceDE/>
      <w:autoSpaceDN/>
      <w:spacing w:before="100" w:beforeAutospacing="1" w:after="100" w:afterAutospacing="1"/>
      <w:jc w:val="left"/>
    </w:pPr>
    <w:rPr>
      <w:sz w:val="24"/>
      <w:szCs w:val="24"/>
    </w:rPr>
  </w:style>
  <w:style w:type="paragraph" w:customStyle="1" w:styleId="dx-doi">
    <w:name w:val="dx-doi"/>
    <w:basedOn w:val="a4"/>
    <w:rsid w:val="008477B2"/>
    <w:pPr>
      <w:autoSpaceDE/>
      <w:autoSpaceDN/>
      <w:spacing w:before="100" w:beforeAutospacing="1" w:after="100" w:afterAutospacing="1"/>
      <w:jc w:val="left"/>
    </w:pPr>
    <w:rPr>
      <w:sz w:val="24"/>
      <w:szCs w:val="24"/>
    </w:rPr>
  </w:style>
  <w:style w:type="character" w:customStyle="1" w:styleId="fm-vol-iss-date">
    <w:name w:val="fm-vol-iss-date"/>
    <w:basedOn w:val="a5"/>
    <w:rsid w:val="008477B2"/>
  </w:style>
  <w:style w:type="character" w:customStyle="1" w:styleId="doi">
    <w:name w:val="doi"/>
    <w:basedOn w:val="a5"/>
    <w:rsid w:val="008477B2"/>
  </w:style>
  <w:style w:type="character" w:customStyle="1" w:styleId="66">
    <w:name w:val="Неразрешенное упоминание6"/>
    <w:basedOn w:val="a5"/>
    <w:uiPriority w:val="99"/>
    <w:semiHidden/>
    <w:unhideWhenUsed/>
    <w:rsid w:val="008477B2"/>
    <w:rPr>
      <w:color w:val="605E5C"/>
      <w:shd w:val="clear" w:color="auto" w:fill="E1DFDD"/>
    </w:rPr>
  </w:style>
  <w:style w:type="table" w:customStyle="1" w:styleId="TableNormal">
    <w:name w:val="Table Normal"/>
    <w:rsid w:val="004238B0"/>
    <w:pPr>
      <w:spacing w:line="360" w:lineRule="auto"/>
      <w:ind w:firstLine="720"/>
      <w:jc w:val="both"/>
    </w:pPr>
    <w:rPr>
      <w:sz w:val="28"/>
      <w:szCs w:val="28"/>
    </w:rPr>
    <w:tblPr>
      <w:tblCellMar>
        <w:top w:w="0" w:type="dxa"/>
        <w:left w:w="0" w:type="dxa"/>
        <w:bottom w:w="0" w:type="dxa"/>
        <w:right w:w="0" w:type="dxa"/>
      </w:tblCellMar>
    </w:tblPr>
  </w:style>
  <w:style w:type="paragraph" w:customStyle="1" w:styleId="affffffff2">
    <w:name w:val="элемент"/>
    <w:basedOn w:val="a4"/>
    <w:rsid w:val="004238B0"/>
    <w:pPr>
      <w:autoSpaceDE/>
      <w:autoSpaceDN/>
      <w:spacing w:before="100" w:beforeAutospacing="1" w:after="100" w:afterAutospacing="1"/>
      <w:jc w:val="left"/>
    </w:pPr>
    <w:rPr>
      <w:sz w:val="24"/>
      <w:szCs w:val="24"/>
    </w:rPr>
  </w:style>
  <w:style w:type="table" w:customStyle="1" w:styleId="3b">
    <w:name w:val="3"/>
    <w:basedOn w:val="a6"/>
    <w:rsid w:val="004238B0"/>
    <w:pPr>
      <w:spacing w:line="360" w:lineRule="auto"/>
      <w:ind w:firstLine="720"/>
      <w:jc w:val="both"/>
    </w:pPr>
    <w:rPr>
      <w:rFonts w:ascii="Calibri" w:eastAsia="Calibri" w:hAnsi="Calibri" w:cs="Calibri"/>
      <w:sz w:val="28"/>
      <w:szCs w:val="28"/>
    </w:rPr>
    <w:tblPr>
      <w:tblStyleRowBandSize w:val="1"/>
      <w:tblStyleColBandSize w:val="1"/>
      <w:tblInd w:w="0" w:type="dxa"/>
      <w:tblCellMar>
        <w:top w:w="100" w:type="dxa"/>
        <w:left w:w="100" w:type="dxa"/>
        <w:bottom w:w="100" w:type="dxa"/>
        <w:right w:w="100" w:type="dxa"/>
      </w:tblCellMar>
    </w:tblPr>
  </w:style>
  <w:style w:type="table" w:customStyle="1" w:styleId="2f3">
    <w:name w:val="2"/>
    <w:basedOn w:val="a6"/>
    <w:rsid w:val="004238B0"/>
    <w:pPr>
      <w:ind w:firstLine="720"/>
      <w:jc w:val="both"/>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character" w:customStyle="1" w:styleId="affffffa">
    <w:name w:val="Список с маркерами Знак"/>
    <w:basedOn w:val="a5"/>
    <w:link w:val="a1"/>
    <w:rsid w:val="00136E10"/>
    <w:rPr>
      <w:rFonts w:cs="Arial"/>
      <w:sz w:val="26"/>
      <w:szCs w:val="24"/>
    </w:rPr>
  </w:style>
  <w:style w:type="paragraph" w:customStyle="1" w:styleId="affffffff3">
    <w:name w:val="Сноски"/>
    <w:basedOn w:val="af6"/>
    <w:link w:val="affffffff4"/>
    <w:qFormat/>
    <w:rsid w:val="00136E10"/>
    <w:pPr>
      <w:autoSpaceDE/>
      <w:autoSpaceDN/>
    </w:pPr>
    <w:rPr>
      <w:rFonts w:ascii="Times New Roman" w:eastAsiaTheme="minorHAnsi" w:hAnsi="Times New Roman" w:cs="Times New Roman"/>
      <w:sz w:val="20"/>
      <w:szCs w:val="20"/>
      <w:lang w:eastAsia="en-US"/>
    </w:rPr>
  </w:style>
  <w:style w:type="character" w:customStyle="1" w:styleId="affffffff4">
    <w:name w:val="Сноски Знак"/>
    <w:basedOn w:val="af7"/>
    <w:link w:val="affffffff3"/>
    <w:rsid w:val="00136E10"/>
    <w:rPr>
      <w:rFonts w:ascii="Arial" w:eastAsiaTheme="minorHAnsi" w:hAnsi="Arial" w:cs="Arial"/>
      <w:sz w:val="18"/>
      <w:szCs w:val="18"/>
      <w:lang w:val="ru-RU" w:eastAsia="en-US" w:bidi="ar-SA"/>
    </w:rPr>
  </w:style>
  <w:style w:type="character" w:customStyle="1" w:styleId="jlqj4b">
    <w:name w:val="jlqj4b"/>
    <w:basedOn w:val="a5"/>
    <w:rsid w:val="00136E10"/>
  </w:style>
  <w:style w:type="character" w:customStyle="1" w:styleId="viiyi">
    <w:name w:val="viiyi"/>
    <w:basedOn w:val="a5"/>
    <w:rsid w:val="00136E10"/>
  </w:style>
  <w:style w:type="character" w:customStyle="1" w:styleId="y2iqfc">
    <w:name w:val="y2iqfc"/>
    <w:basedOn w:val="a5"/>
    <w:rsid w:val="006C4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9475069">
      <w:bodyDiv w:val="1"/>
      <w:marLeft w:val="0"/>
      <w:marRight w:val="0"/>
      <w:marTop w:val="0"/>
      <w:marBottom w:val="0"/>
      <w:divBdr>
        <w:top w:val="none" w:sz="0" w:space="0" w:color="auto"/>
        <w:left w:val="none" w:sz="0" w:space="0" w:color="auto"/>
        <w:bottom w:val="none" w:sz="0" w:space="0" w:color="auto"/>
        <w:right w:val="none" w:sz="0" w:space="0" w:color="auto"/>
      </w:divBdr>
    </w:div>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phyr.bvdinfo.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ics.com/naics-resources/2017-naics-changes-preview/"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EACA2-DDAF-4701-9A69-4A8B4B72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3172</Words>
  <Characters>18083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21213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6</cp:revision>
  <cp:lastPrinted>2021-03-30T07:09:00Z</cp:lastPrinted>
  <dcterms:created xsi:type="dcterms:W3CDTF">2021-12-19T16:55:00Z</dcterms:created>
  <dcterms:modified xsi:type="dcterms:W3CDTF">2021-12-24T09:53:00Z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