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397"/>
        <w:jc w:val="both"/>
        <w:rPr>
          <w:rFonts w:ascii="Times New Roman" w:hAnsi="Times New Roman" w:eastAsia="SimSun" w:cs="Times New Roman"/>
          <w:sz w:val="28"/>
          <w:szCs w:val="28"/>
          <w:lang w:val="ru-RU"/>
        </w:rPr>
      </w:pPr>
      <w:r>
        <w:rPr>
          <w:rFonts w:ascii="Times New Roman" w:hAnsi="Times New Roman" w:eastAsia="SimSun" w:cs="Times New Roman"/>
          <w:sz w:val="28"/>
          <w:szCs w:val="28"/>
          <w:lang w:val="ru-RU"/>
        </w:rPr>
        <w:t xml:space="preserve">УДК </w:t>
      </w:r>
    </w:p>
    <w:p>
      <w:pPr>
        <w:spacing w:line="360" w:lineRule="auto"/>
        <w:ind w:firstLine="397"/>
        <w:jc w:val="both"/>
        <w:rPr>
          <w:rFonts w:ascii="Times New Roman" w:hAnsi="Times New Roman" w:eastAsia="SimSun" w:cs="Times New Roman"/>
          <w:b/>
          <w:bCs/>
          <w:sz w:val="28"/>
          <w:szCs w:val="28"/>
          <w:lang w:val="ru-RU"/>
        </w:rPr>
      </w:pPr>
      <w:r>
        <w:rPr>
          <w:rFonts w:ascii="Times New Roman" w:hAnsi="Times New Roman" w:eastAsia="SimSun" w:cs="Times New Roman"/>
          <w:b/>
          <w:bCs/>
          <w:sz w:val="28"/>
          <w:szCs w:val="28"/>
          <w:lang w:val="ru-RU"/>
        </w:rPr>
        <w:t>НАРРАТИВНАЯ КАТЕГОРИЯ ТОЧКА ЗРЕНИЯ В РОМАНЕ ЛЕНЫ</w:t>
      </w:r>
      <w:r>
        <w:rPr>
          <w:rFonts w:hint="default" w:ascii="Times New Roman" w:hAnsi="Times New Roman" w:eastAsia="SimSun" w:cs="Times New Roman"/>
          <w:b/>
          <w:bCs/>
          <w:sz w:val="28"/>
          <w:szCs w:val="28"/>
          <w:lang w:val="ru-RU"/>
        </w:rPr>
        <w:t xml:space="preserve"> </w:t>
      </w:r>
      <w:r>
        <w:rPr>
          <w:rFonts w:ascii="Times New Roman" w:hAnsi="Times New Roman" w:eastAsia="SimSun" w:cs="Times New Roman"/>
          <w:b/>
          <w:bCs/>
          <w:sz w:val="28"/>
          <w:szCs w:val="28"/>
          <w:lang w:val="ru-RU"/>
        </w:rPr>
        <w:t xml:space="preserve">ЭЛТАНГ «КАМЕННЫЕ КЛЕНЫ» </w:t>
      </w:r>
    </w:p>
    <w:p>
      <w:pPr>
        <w:spacing w:line="360" w:lineRule="auto"/>
        <w:ind w:firstLine="397"/>
        <w:jc w:val="both"/>
        <w:rPr>
          <w:rFonts w:ascii="Times New Roman" w:hAnsi="Times New Roman" w:eastAsia="SimSun" w:cs="Times New Roman"/>
          <w:sz w:val="28"/>
          <w:szCs w:val="28"/>
          <w:lang w:val="ru-RU"/>
        </w:rPr>
      </w:pPr>
      <w:r>
        <w:rPr>
          <w:rFonts w:ascii="Times New Roman" w:hAnsi="Times New Roman" w:eastAsia="SimSun" w:cs="Times New Roman"/>
          <w:sz w:val="28"/>
          <w:szCs w:val="28"/>
          <w:lang w:val="ru-RU"/>
        </w:rPr>
        <w:t xml:space="preserve">М. С. Мозжерина </w:t>
      </w:r>
    </w:p>
    <w:p>
      <w:pPr>
        <w:spacing w:line="360" w:lineRule="auto"/>
        <w:ind w:firstLine="397"/>
        <w:jc w:val="both"/>
        <w:rPr>
          <w:rFonts w:ascii="Times New Roman" w:hAnsi="Times New Roman" w:eastAsia="SimSun" w:cs="Times New Roman"/>
          <w:sz w:val="28"/>
          <w:szCs w:val="28"/>
          <w:lang w:val="ru-RU"/>
        </w:rPr>
      </w:pPr>
      <w:r>
        <w:rPr>
          <w:rFonts w:ascii="Times New Roman" w:hAnsi="Times New Roman" w:eastAsia="SimSun" w:cs="Times New Roman"/>
          <w:sz w:val="28"/>
          <w:szCs w:val="28"/>
          <w:lang w:val="ru-RU"/>
        </w:rPr>
        <w:t>Федеральное государственное автономное учреждение высшего образования «Южно-Уральский государственный университет (национальный университет)», г. Челябинск, Российская Федерация</w:t>
      </w:r>
    </w:p>
    <w:p>
      <w:pPr>
        <w:spacing w:line="360" w:lineRule="auto"/>
        <w:ind w:firstLine="397"/>
        <w:jc w:val="both"/>
        <w:rPr>
          <w:rFonts w:ascii="Times New Roman" w:hAnsi="Times New Roman" w:eastAsia="SimSun" w:cs="Times New Roman"/>
          <w:sz w:val="28"/>
          <w:szCs w:val="28"/>
          <w:lang w:val="ru-RU"/>
        </w:rPr>
      </w:pPr>
      <w:r>
        <w:rPr>
          <w:rFonts w:ascii="Times New Roman" w:hAnsi="Times New Roman" w:eastAsia="SimSun" w:cs="Times New Roman"/>
          <w:sz w:val="28"/>
          <w:szCs w:val="28"/>
          <w:lang w:val="ru-RU"/>
        </w:rPr>
        <w:t>ORCID 0000-0000-0000-0000</w:t>
      </w:r>
    </w:p>
    <w:p>
      <w:pPr>
        <w:spacing w:line="360" w:lineRule="auto"/>
        <w:ind w:firstLine="397"/>
        <w:jc w:val="both"/>
        <w:rPr>
          <w:rFonts w:ascii="Times New Roman" w:hAnsi="Times New Roman" w:eastAsia="SimSun" w:cs="Times New Roman"/>
          <w:sz w:val="28"/>
          <w:szCs w:val="28"/>
          <w:lang w:val="ru-RU"/>
        </w:rPr>
      </w:pPr>
    </w:p>
    <w:p>
      <w:pPr>
        <w:spacing w:line="360" w:lineRule="auto"/>
        <w:ind w:firstLine="397"/>
        <w:jc w:val="both"/>
        <w:rPr>
          <w:rFonts w:ascii="Times New Roman" w:hAnsi="Times New Roman" w:eastAsia="SimSun" w:cs="Times New Roman"/>
          <w:sz w:val="28"/>
          <w:szCs w:val="28"/>
          <w:lang w:val="ru-RU"/>
        </w:rPr>
      </w:pPr>
      <w:r>
        <w:rPr>
          <w:rFonts w:ascii="Times New Roman" w:hAnsi="Times New Roman" w:eastAsia="SimSun" w:cs="Times New Roman"/>
          <w:sz w:val="28"/>
          <w:szCs w:val="28"/>
          <w:lang w:val="ru-RU"/>
        </w:rPr>
        <w:t xml:space="preserve">Аннотация: В настоящей статье рассматривается актуальное литературоведческое понятие – </w:t>
      </w:r>
      <w:r>
        <w:rPr>
          <w:rFonts w:ascii="Times New Roman" w:hAnsi="Times New Roman" w:eastAsia="SimSun" w:cs="Times New Roman"/>
          <w:i/>
          <w:iCs/>
          <w:sz w:val="28"/>
          <w:szCs w:val="28"/>
          <w:lang w:val="ru-RU"/>
        </w:rPr>
        <w:t xml:space="preserve">точка зрения; </w:t>
      </w:r>
      <w:r>
        <w:rPr>
          <w:rFonts w:ascii="Times New Roman" w:hAnsi="Times New Roman" w:eastAsia="SimSun" w:cs="Times New Roman"/>
          <w:sz w:val="28"/>
          <w:szCs w:val="28"/>
          <w:lang w:val="ru-RU"/>
        </w:rPr>
        <w:t xml:space="preserve">охарактеризованы различные теоретико-методологические подходы к трактовке понятия, в том числе в понимании взаимосвязанных терминов </w:t>
      </w:r>
      <w:r>
        <w:rPr>
          <w:rFonts w:ascii="Times New Roman" w:hAnsi="Times New Roman" w:eastAsia="SimSun" w:cs="Times New Roman"/>
          <w:i/>
          <w:iCs/>
          <w:sz w:val="28"/>
          <w:szCs w:val="28"/>
          <w:lang w:val="ru-RU"/>
        </w:rPr>
        <w:t>перспектива</w:t>
      </w:r>
      <w:r>
        <w:rPr>
          <w:rFonts w:ascii="Times New Roman" w:hAnsi="Times New Roman" w:eastAsia="SimSun" w:cs="Times New Roman"/>
          <w:sz w:val="28"/>
          <w:szCs w:val="28"/>
          <w:lang w:val="ru-RU"/>
        </w:rPr>
        <w:t xml:space="preserve">, </w:t>
      </w:r>
      <w:r>
        <w:rPr>
          <w:rFonts w:ascii="Times New Roman" w:hAnsi="Times New Roman" w:eastAsia="SimSun" w:cs="Times New Roman"/>
          <w:i/>
          <w:iCs/>
          <w:sz w:val="28"/>
          <w:szCs w:val="28"/>
          <w:lang w:val="ru-RU"/>
        </w:rPr>
        <w:t>фокализация</w:t>
      </w:r>
      <w:r>
        <w:rPr>
          <w:rFonts w:ascii="Times New Roman" w:hAnsi="Times New Roman" w:eastAsia="SimSun" w:cs="Times New Roman"/>
          <w:sz w:val="28"/>
          <w:szCs w:val="28"/>
          <w:lang w:val="ru-RU"/>
        </w:rPr>
        <w:t xml:space="preserve">, </w:t>
      </w:r>
      <w:r>
        <w:rPr>
          <w:rFonts w:ascii="Times New Roman" w:hAnsi="Times New Roman" w:eastAsia="SimSun" w:cs="Times New Roman"/>
          <w:i/>
          <w:iCs/>
          <w:sz w:val="28"/>
          <w:szCs w:val="28"/>
          <w:lang w:val="ru-RU"/>
        </w:rPr>
        <w:t>нарративная модальность</w:t>
      </w:r>
      <w:r>
        <w:rPr>
          <w:rFonts w:ascii="Times New Roman" w:hAnsi="Times New Roman" w:eastAsia="SimSun" w:cs="Times New Roman"/>
          <w:sz w:val="28"/>
          <w:szCs w:val="28"/>
          <w:lang w:val="ru-RU"/>
        </w:rPr>
        <w:t xml:space="preserve">. Анализ теоретических трудов, посвященных проблемам нарратологии, позволил заключить, что ведущая ролей при построении нарратива отдается нарратору. Таким образом, определяя нарратора как неотъемлемый конструирующий элемент нарративной структуры, необходимо уделить специальное внимание понятию </w:t>
      </w:r>
      <w:r>
        <w:rPr>
          <w:rFonts w:ascii="Times New Roman" w:hAnsi="Times New Roman" w:eastAsia="SimSun" w:cs="Times New Roman"/>
          <w:i/>
          <w:iCs/>
          <w:sz w:val="28"/>
          <w:szCs w:val="28"/>
          <w:lang w:val="ru-RU"/>
        </w:rPr>
        <w:t>точка зрения</w:t>
      </w:r>
      <w:r>
        <w:rPr>
          <w:rFonts w:ascii="Times New Roman" w:hAnsi="Times New Roman" w:eastAsia="SimSun" w:cs="Times New Roman"/>
          <w:sz w:val="28"/>
          <w:szCs w:val="28"/>
          <w:lang w:val="ru-RU"/>
        </w:rPr>
        <w:t>. Целью статьи является</w:t>
      </w:r>
      <w:r>
        <w:rPr>
          <w:rFonts w:ascii="Times New Roman" w:hAnsi="Times New Roman" w:eastAsia="SimSun" w:cs="Times New Roman"/>
          <w:i/>
          <w:iCs/>
          <w:sz w:val="28"/>
          <w:szCs w:val="28"/>
          <w:lang w:val="ru-RU"/>
        </w:rPr>
        <w:t xml:space="preserve"> </w:t>
      </w:r>
      <w:r>
        <w:rPr>
          <w:rFonts w:ascii="Times New Roman" w:hAnsi="Times New Roman" w:eastAsia="SimSun" w:cs="Times New Roman"/>
          <w:sz w:val="28"/>
          <w:szCs w:val="28"/>
          <w:lang w:val="ru-RU"/>
        </w:rPr>
        <w:t xml:space="preserve">анализ нарративной категории </w:t>
      </w:r>
      <w:r>
        <w:rPr>
          <w:rFonts w:ascii="Times New Roman" w:hAnsi="Times New Roman" w:eastAsia="SimSun" w:cs="Times New Roman"/>
          <w:i/>
          <w:iCs/>
          <w:sz w:val="28"/>
          <w:szCs w:val="28"/>
          <w:lang w:val="ru-RU"/>
        </w:rPr>
        <w:t>точка зрения</w:t>
      </w:r>
      <w:r>
        <w:rPr>
          <w:rFonts w:ascii="Times New Roman" w:hAnsi="Times New Roman" w:eastAsia="SimSun" w:cs="Times New Roman"/>
          <w:sz w:val="28"/>
          <w:szCs w:val="28"/>
          <w:lang w:val="ru-RU"/>
        </w:rPr>
        <w:t xml:space="preserve"> в романе современной писательницы Лены Элтанг «Каменные клены», нарративная структура которого характеризуется многоуровневой организацией. Столкновение в романе множества различных, в том числе разногендерных, точек зрения «дробит» нарратив и осложняет сюжет, делая его каледоскопичным и вариативным. Комплексные методы исследования позволили определить, что в романе Лена Элтанг «Каменные клены» представлены несколько субъектов речи и несколько нарративных линий. </w:t>
      </w:r>
      <w:r>
        <w:rPr>
          <w:rFonts w:ascii="Times New Roman" w:hAnsi="Times New Roman" w:cs="Times New Roman"/>
          <w:sz w:val="28"/>
          <w:szCs w:val="28"/>
          <w:lang w:val="ru-RU"/>
        </w:rPr>
        <w:t xml:space="preserve">Нарративная логика романа содержит несколько вариаций одного события и множество точек зрения на него; иногда различные точки зрения помогают восстановить истинный порядок событий, иногда – все больше запутывают. Имеющаяся в романе детективная сюжетная схема приобретает значение вербальной и смысловой игры, трансформирующей классические детективные элементы. </w:t>
      </w:r>
      <w:r>
        <w:rPr>
          <w:rFonts w:ascii="Times New Roman" w:hAnsi="Times New Roman" w:eastAsia="SimSun" w:cs="Times New Roman"/>
          <w:sz w:val="28"/>
          <w:szCs w:val="28"/>
          <w:lang w:val="ru-RU"/>
        </w:rPr>
        <w:t xml:space="preserve">Коммуникативная основа произведения, «мозаичность» повествования, авторские загадки и детективная сюжетная основа романа активизируют роль читателя «Каменных кленов», которому отдается функция одного из нарраторов произведения. В статье подчеркивается, что в романе формируется необъективный, ложный нарратив, разрушающий принципы классического повествования. </w:t>
      </w:r>
    </w:p>
    <w:p>
      <w:pPr>
        <w:spacing w:line="360" w:lineRule="auto"/>
        <w:ind w:firstLine="397"/>
        <w:jc w:val="both"/>
        <w:rPr>
          <w:rFonts w:ascii="Times New Roman" w:hAnsi="Times New Roman" w:eastAsia="SimSun" w:cs="Times New Roman"/>
          <w:sz w:val="28"/>
          <w:szCs w:val="28"/>
          <w:lang w:val="ru-RU"/>
        </w:rPr>
      </w:pPr>
      <w:r>
        <w:rPr>
          <w:rFonts w:ascii="Times New Roman" w:hAnsi="Times New Roman" w:eastAsia="SimSun" w:cs="Times New Roman"/>
          <w:sz w:val="28"/>
          <w:szCs w:val="28"/>
          <w:lang w:val="ru-RU"/>
        </w:rPr>
        <w:t xml:space="preserve">Ключевые слова: нарратив, точка зрения, фокализация, нарративная модальность, мемуарная литература, детектив, нарратор. </w:t>
      </w:r>
    </w:p>
    <w:p>
      <w:pPr>
        <w:spacing w:line="360" w:lineRule="auto"/>
        <w:ind w:firstLine="397"/>
        <w:jc w:val="both"/>
        <w:rPr>
          <w:rFonts w:ascii="Times New Roman" w:hAnsi="Times New Roman" w:eastAsia="SimSun" w:cs="Times New Roman"/>
          <w:sz w:val="28"/>
          <w:szCs w:val="28"/>
          <w:lang w:val="ru-RU"/>
        </w:rPr>
      </w:pPr>
    </w:p>
    <w:p>
      <w:pPr>
        <w:spacing w:line="360" w:lineRule="auto"/>
        <w:ind w:firstLine="397"/>
        <w:jc w:val="both"/>
        <w:rPr>
          <w:rFonts w:ascii="Times New Roman" w:hAnsi="Times New Roman" w:eastAsia="SimSun" w:cs="Times New Roman"/>
          <w:sz w:val="28"/>
          <w:szCs w:val="28"/>
          <w:lang w:val="ru-RU"/>
        </w:rPr>
      </w:pPr>
    </w:p>
    <w:p>
      <w:pPr>
        <w:spacing w:line="360" w:lineRule="auto"/>
        <w:ind w:firstLine="397"/>
        <w:jc w:val="both"/>
        <w:rPr>
          <w:rFonts w:ascii="Times New Roman" w:hAnsi="Times New Roman" w:eastAsia="SimSun" w:cs="Times New Roman"/>
          <w:b/>
          <w:bCs/>
          <w:sz w:val="28"/>
          <w:szCs w:val="28"/>
        </w:rPr>
      </w:pPr>
      <w:r>
        <w:rPr>
          <w:rFonts w:ascii="Times New Roman" w:hAnsi="Times New Roman" w:eastAsia="SimSun" w:cs="Times New Roman"/>
          <w:b/>
          <w:bCs/>
          <w:sz w:val="28"/>
          <w:szCs w:val="28"/>
        </w:rPr>
        <w:t>NARRATIVE CATEGORY POINT OF VIEW IN THE NOVEL «STONE MAPLES» BY L</w:t>
      </w:r>
      <w:r>
        <w:rPr>
          <w:rFonts w:hint="default" w:ascii="Times New Roman" w:hAnsi="Times New Roman" w:eastAsia="SimSun" w:cs="Times New Roman"/>
          <w:b/>
          <w:bCs/>
          <w:sz w:val="28"/>
          <w:szCs w:val="28"/>
          <w:lang w:val="en-US"/>
        </w:rPr>
        <w:t>ENA</w:t>
      </w:r>
      <w:bookmarkStart w:id="0" w:name="_GoBack"/>
      <w:bookmarkEnd w:id="0"/>
      <w:r>
        <w:rPr>
          <w:rFonts w:ascii="Times New Roman" w:hAnsi="Times New Roman" w:eastAsia="SimSun" w:cs="Times New Roman"/>
          <w:b/>
          <w:bCs/>
          <w:sz w:val="28"/>
          <w:szCs w:val="28"/>
        </w:rPr>
        <w:t xml:space="preserve"> ELTANG </w:t>
      </w:r>
    </w:p>
    <w:p>
      <w:pPr>
        <w:spacing w:line="360" w:lineRule="auto"/>
        <w:ind w:firstLine="397"/>
        <w:jc w:val="both"/>
        <w:rPr>
          <w:rFonts w:ascii="Times New Roman" w:hAnsi="Times New Roman" w:eastAsia="SimSun" w:cs="Times New Roman"/>
          <w:sz w:val="28"/>
          <w:szCs w:val="28"/>
        </w:rPr>
      </w:pPr>
      <w:r>
        <w:rPr>
          <w:rFonts w:ascii="Times New Roman" w:hAnsi="Times New Roman" w:eastAsia="SimSun" w:cs="Times New Roman"/>
          <w:sz w:val="28"/>
          <w:szCs w:val="28"/>
        </w:rPr>
        <w:t xml:space="preserve">M. S. Mozzherina </w:t>
      </w:r>
    </w:p>
    <w:p>
      <w:pPr>
        <w:spacing w:line="360" w:lineRule="auto"/>
        <w:ind w:firstLine="397"/>
        <w:jc w:val="both"/>
        <w:rPr>
          <w:rFonts w:ascii="Times New Roman" w:hAnsi="Times New Roman" w:eastAsia="SimSun" w:cs="Times New Roman"/>
          <w:sz w:val="28"/>
          <w:szCs w:val="28"/>
        </w:rPr>
      </w:pPr>
      <w:r>
        <w:rPr>
          <w:rFonts w:ascii="Times New Roman" w:hAnsi="Times New Roman" w:eastAsia="SimSun" w:cs="Times New Roman"/>
          <w:sz w:val="28"/>
          <w:szCs w:val="28"/>
        </w:rPr>
        <w:t>Federal State Autonomous Educational Istitution of Higher Education «South Ural State University (National Research University)», Chelyabinsk, Russian Federation</w:t>
      </w:r>
    </w:p>
    <w:p>
      <w:pPr>
        <w:spacing w:line="360" w:lineRule="auto"/>
        <w:ind w:firstLine="397"/>
        <w:jc w:val="both"/>
        <w:rPr>
          <w:rFonts w:ascii="Times New Roman" w:hAnsi="Times New Roman" w:eastAsia="SimSun" w:cs="Times New Roman"/>
          <w:sz w:val="28"/>
          <w:szCs w:val="28"/>
        </w:rPr>
      </w:pPr>
    </w:p>
    <w:p>
      <w:pPr>
        <w:spacing w:line="360" w:lineRule="auto"/>
        <w:ind w:firstLine="397"/>
        <w:jc w:val="both"/>
        <w:rPr>
          <w:rFonts w:hint="default" w:ascii="Times New Roman" w:hAnsi="Times New Roman" w:eastAsia="Arial" w:cs="Times New Roman"/>
          <w:i w:val="0"/>
          <w:iCs w:val="0"/>
          <w:caps w:val="0"/>
          <w:color w:val="000000"/>
          <w:spacing w:val="0"/>
          <w:sz w:val="28"/>
          <w:szCs w:val="28"/>
          <w:shd w:val="clear" w:fill="FFFFFF"/>
        </w:rPr>
      </w:pPr>
      <w:r>
        <w:rPr>
          <w:rFonts w:hint="default" w:ascii="Times New Roman" w:hAnsi="Times New Roman" w:eastAsia="open sans" w:cs="Times New Roman"/>
          <w:sz w:val="28"/>
          <w:szCs w:val="28"/>
        </w:rPr>
        <w:t xml:space="preserve">Abstract: </w:t>
      </w:r>
      <w:r>
        <w:rPr>
          <w:rFonts w:hint="default" w:ascii="Times New Roman" w:hAnsi="Times New Roman" w:eastAsia="Arial" w:cs="Times New Roman"/>
          <w:i w:val="0"/>
          <w:iCs w:val="0"/>
          <w:caps w:val="0"/>
          <w:color w:val="000000"/>
          <w:spacing w:val="0"/>
          <w:sz w:val="28"/>
          <w:szCs w:val="28"/>
          <w:shd w:val="clear" w:fill="FFFFFF"/>
        </w:rPr>
        <w:t xml:space="preserve">This article examines the actual literary concept - point of view; various theoretical and methodological approaches to the interpretation of the concept are characterized, including in the understanding of interrelated terms perspective, focalization, narrative modality. The analysis of theoretical works devoted to the problems of narratology allowed us to conclude that the leading role in the construction of a narrative is given to the narrator. Thus, when defining the narrator as an integral constructive element of the narrative structure, it is necessary to pay special attention to the concept of point of view. The purpose of the article is to analyze the narrative category of point of view in the novel "Stone Maples" by the modern writer Lena Eltang, the narrative structure of which is characterized by a multilevel organization. The collision in the novel of many different, including multi-gender, points of view "splits" the narrative and complicates the plot, making it kaledoscopic and variable. Comprehensive research methods made it possible to determine that the novel </w:t>
      </w:r>
      <w:r>
        <w:rPr>
          <w:rFonts w:hint="default" w:ascii="Times New Roman" w:hAnsi="Times New Roman" w:eastAsia="Arial" w:cs="Times New Roman"/>
          <w:i w:val="0"/>
          <w:iCs w:val="0"/>
          <w:caps w:val="0"/>
          <w:color w:val="000000"/>
          <w:spacing w:val="0"/>
          <w:sz w:val="28"/>
          <w:szCs w:val="28"/>
          <w:shd w:val="clear" w:fill="FFFFFF"/>
          <w:lang w:val="en-US"/>
        </w:rPr>
        <w:t>“</w:t>
      </w:r>
      <w:r>
        <w:rPr>
          <w:rFonts w:hint="default" w:ascii="Times New Roman" w:hAnsi="Times New Roman" w:eastAsia="Arial" w:cs="Times New Roman"/>
          <w:i w:val="0"/>
          <w:iCs w:val="0"/>
          <w:caps w:val="0"/>
          <w:color w:val="000000"/>
          <w:spacing w:val="0"/>
          <w:sz w:val="28"/>
          <w:szCs w:val="28"/>
          <w:shd w:val="clear" w:fill="FFFFFF"/>
        </w:rPr>
        <w:t>Stone Maples</w:t>
      </w:r>
      <w:r>
        <w:rPr>
          <w:rFonts w:hint="default" w:ascii="Times New Roman" w:hAnsi="Times New Roman" w:eastAsia="Arial" w:cs="Times New Roman"/>
          <w:i w:val="0"/>
          <w:iCs w:val="0"/>
          <w:caps w:val="0"/>
          <w:color w:val="000000"/>
          <w:spacing w:val="0"/>
          <w:sz w:val="28"/>
          <w:szCs w:val="28"/>
          <w:shd w:val="clear" w:fill="FFFFFF"/>
          <w:lang w:val="en-US"/>
        </w:rPr>
        <w:t>”</w:t>
      </w:r>
      <w:r>
        <w:rPr>
          <w:rFonts w:hint="default" w:ascii="Times New Roman" w:hAnsi="Times New Roman" w:eastAsia="Arial" w:cs="Times New Roman"/>
          <w:i w:val="0"/>
          <w:iCs w:val="0"/>
          <w:caps w:val="0"/>
          <w:color w:val="000000"/>
          <w:spacing w:val="0"/>
          <w:sz w:val="28"/>
          <w:szCs w:val="28"/>
          <w:shd w:val="clear" w:fill="FFFFFF"/>
        </w:rPr>
        <w:t xml:space="preserve"> by Lena Eltang presents several subjects of speech and several narrative lines. The narrative logic of the novel contains several variations of one event and many points of view on it; sometimes different points of view help to restore the true order of events, sometimes they become more and more confusing. The detective plot scheme in the novel takes on the meaning of a verbal and semantic game that transforms classic detective elements. The communicative basis of the work, the "mosaic" of the narrative, the author's riddles and the detective plot basis of the novel activate the role of the reader of </w:t>
      </w:r>
      <w:r>
        <w:rPr>
          <w:rFonts w:hint="default" w:ascii="Times New Roman" w:hAnsi="Times New Roman" w:eastAsia="Arial" w:cs="Times New Roman"/>
          <w:i w:val="0"/>
          <w:iCs w:val="0"/>
          <w:caps w:val="0"/>
          <w:color w:val="000000"/>
          <w:spacing w:val="0"/>
          <w:sz w:val="28"/>
          <w:szCs w:val="28"/>
          <w:shd w:val="clear" w:fill="FFFFFF"/>
          <w:lang w:val="en-US"/>
        </w:rPr>
        <w:t>“</w:t>
      </w:r>
      <w:r>
        <w:rPr>
          <w:rFonts w:hint="default" w:ascii="Times New Roman" w:hAnsi="Times New Roman" w:eastAsia="Arial" w:cs="Times New Roman"/>
          <w:i w:val="0"/>
          <w:iCs w:val="0"/>
          <w:caps w:val="0"/>
          <w:color w:val="000000"/>
          <w:spacing w:val="0"/>
          <w:sz w:val="28"/>
          <w:szCs w:val="28"/>
          <w:shd w:val="clear" w:fill="FFFFFF"/>
        </w:rPr>
        <w:t>Stone Maples</w:t>
      </w:r>
      <w:r>
        <w:rPr>
          <w:rFonts w:hint="default" w:ascii="Times New Roman" w:hAnsi="Times New Roman" w:eastAsia="Arial" w:cs="Times New Roman"/>
          <w:i w:val="0"/>
          <w:iCs w:val="0"/>
          <w:caps w:val="0"/>
          <w:color w:val="000000"/>
          <w:spacing w:val="0"/>
          <w:sz w:val="28"/>
          <w:szCs w:val="28"/>
          <w:shd w:val="clear" w:fill="FFFFFF"/>
          <w:lang w:val="en-US"/>
        </w:rPr>
        <w:t>”</w:t>
      </w:r>
      <w:r>
        <w:rPr>
          <w:rFonts w:hint="default" w:ascii="Times New Roman" w:hAnsi="Times New Roman" w:eastAsia="Arial" w:cs="Times New Roman"/>
          <w:i w:val="0"/>
          <w:iCs w:val="0"/>
          <w:caps w:val="0"/>
          <w:color w:val="000000"/>
          <w:spacing w:val="0"/>
          <w:sz w:val="28"/>
          <w:szCs w:val="28"/>
          <w:shd w:val="clear" w:fill="FFFFFF"/>
        </w:rPr>
        <w:t>, who is given the function of one of the narrators of the work. The article emphasizes that a biased, false narrative is formed in the novel, destroying the principles of classical narration.</w:t>
      </w:r>
    </w:p>
    <w:p>
      <w:pPr>
        <w:spacing w:line="360" w:lineRule="auto"/>
        <w:ind w:firstLine="397"/>
        <w:jc w:val="both"/>
        <w:rPr>
          <w:rFonts w:ascii="Times New Roman" w:hAnsi="Times New Roman" w:eastAsia="SimSun" w:cs="Times New Roman"/>
          <w:sz w:val="28"/>
          <w:szCs w:val="28"/>
        </w:rPr>
      </w:pPr>
      <w:r>
        <w:rPr>
          <w:rFonts w:ascii="Times New Roman" w:hAnsi="Times New Roman" w:eastAsia="SimSun" w:cs="Times New Roman"/>
          <w:sz w:val="28"/>
          <w:szCs w:val="28"/>
        </w:rPr>
        <w:t xml:space="preserve">Keywords: narrative, point of view, focalization, narrative modality, memoirs, detective story, narrator. </w:t>
      </w:r>
    </w:p>
    <w:p>
      <w:pPr>
        <w:spacing w:line="360" w:lineRule="auto"/>
        <w:ind w:firstLine="397"/>
        <w:jc w:val="both"/>
        <w:rPr>
          <w:rFonts w:ascii="Times New Roman" w:hAnsi="Times New Roman" w:eastAsia="SimSun" w:cs="Times New Roman"/>
          <w:sz w:val="28"/>
          <w:szCs w:val="28"/>
        </w:rPr>
      </w:pPr>
    </w:p>
    <w:p>
      <w:pPr>
        <w:spacing w:line="360" w:lineRule="auto"/>
        <w:ind w:firstLine="397"/>
        <w:jc w:val="both"/>
        <w:rPr>
          <w:rFonts w:ascii="Times New Roman" w:hAnsi="Times New Roman" w:eastAsia="SimSun" w:cs="Times New Roman"/>
          <w:sz w:val="28"/>
          <w:szCs w:val="28"/>
          <w:lang w:val="ru-RU"/>
        </w:rPr>
      </w:pPr>
      <w:r>
        <w:rPr>
          <w:rFonts w:ascii="Times New Roman" w:hAnsi="Times New Roman" w:eastAsia="SimSun" w:cs="Times New Roman"/>
          <w:b/>
          <w:bCs/>
          <w:sz w:val="28"/>
          <w:szCs w:val="28"/>
          <w:lang w:val="ru-RU"/>
        </w:rPr>
        <w:t>Введение</w:t>
      </w:r>
      <w:r>
        <w:rPr>
          <w:rFonts w:ascii="Times New Roman" w:hAnsi="Times New Roman" w:eastAsia="SimSun" w:cs="Times New Roman"/>
          <w:sz w:val="28"/>
          <w:szCs w:val="28"/>
          <w:lang w:val="ru-RU"/>
        </w:rPr>
        <w:t xml:space="preserve"> </w:t>
      </w:r>
    </w:p>
    <w:p>
      <w:pPr>
        <w:spacing w:line="360" w:lineRule="auto"/>
        <w:ind w:firstLine="397"/>
        <w:jc w:val="both"/>
        <w:rPr>
          <w:rFonts w:ascii="Times New Roman" w:hAnsi="Times New Roman" w:eastAsia="SimSun" w:cs="Times New Roman"/>
          <w:sz w:val="28"/>
          <w:szCs w:val="28"/>
          <w:lang w:val="ru-RU"/>
        </w:rPr>
      </w:pPr>
      <w:r>
        <w:rPr>
          <w:rFonts w:ascii="Times New Roman" w:hAnsi="Times New Roman" w:eastAsia="SimSun" w:cs="Times New Roman"/>
          <w:sz w:val="28"/>
          <w:szCs w:val="28"/>
          <w:lang w:val="ru-RU"/>
        </w:rPr>
        <w:t>Понятие нарратива сегодня оказывается актуальным во многих областях науки. В теории литературы понятие нарратив сопрягается с понятиями повествовательного комплекса, поэтому одной из актуальных задач современной литературоведческой науки является определение терминологических границ.</w:t>
      </w:r>
    </w:p>
    <w:p>
      <w:pPr>
        <w:spacing w:line="360" w:lineRule="auto"/>
        <w:ind w:firstLine="397"/>
        <w:jc w:val="both"/>
        <w:rPr>
          <w:rFonts w:ascii="Times New Roman" w:hAnsi="Times New Roman" w:eastAsia="SimSun" w:cs="Times New Roman"/>
          <w:sz w:val="28"/>
          <w:szCs w:val="28"/>
          <w:lang w:val="ru-RU"/>
        </w:rPr>
      </w:pPr>
      <w:r>
        <w:rPr>
          <w:rFonts w:ascii="Times New Roman" w:hAnsi="Times New Roman" w:eastAsia="SimSun" w:cs="Times New Roman"/>
          <w:sz w:val="28"/>
          <w:szCs w:val="28"/>
          <w:lang w:val="ru-RU"/>
        </w:rPr>
        <w:t xml:space="preserve">Романы современной писательницы Лены Элтанг, имея многослойную повествовательную структуру, представляют наиболее интересный материал для изучения нарративной организации прозаического произведения. </w:t>
      </w:r>
    </w:p>
    <w:p>
      <w:pPr>
        <w:spacing w:line="360" w:lineRule="auto"/>
        <w:ind w:firstLine="397"/>
        <w:jc w:val="both"/>
        <w:rPr>
          <w:rFonts w:ascii="Times New Roman" w:hAnsi="Times New Roman" w:eastAsia="SimSun" w:cs="Times New Roman"/>
          <w:sz w:val="28"/>
          <w:szCs w:val="28"/>
          <w:lang w:val="ru-RU"/>
        </w:rPr>
      </w:pPr>
      <w:r>
        <w:rPr>
          <w:rFonts w:ascii="Times New Roman" w:hAnsi="Times New Roman" w:eastAsia="SimSun" w:cs="Times New Roman"/>
          <w:sz w:val="28"/>
          <w:szCs w:val="28"/>
          <w:lang w:val="ru-RU"/>
        </w:rPr>
        <w:t xml:space="preserve">В структуре романов Лены Элтанг фигура нарратора и сам процесс наррации являются ключевыми позициями, определяющими специфику нарративной организации. Таким образом, определяя нарратора как неотъемлемый конструирующий элемент нарратива, следует уделить отдельное внимание понятию «точка зрения». Поэтому целью данной статьи является изучение нарративной категории </w:t>
      </w:r>
      <w:r>
        <w:rPr>
          <w:rFonts w:ascii="Times New Roman" w:hAnsi="Times New Roman" w:eastAsia="SimSun" w:cs="Times New Roman"/>
          <w:i/>
          <w:iCs/>
          <w:sz w:val="28"/>
          <w:szCs w:val="28"/>
          <w:lang w:val="ru-RU"/>
        </w:rPr>
        <w:t>точка зрения</w:t>
      </w:r>
      <w:r>
        <w:rPr>
          <w:rFonts w:ascii="Times New Roman" w:hAnsi="Times New Roman" w:eastAsia="SimSun" w:cs="Times New Roman"/>
          <w:sz w:val="28"/>
          <w:szCs w:val="28"/>
          <w:lang w:val="ru-RU"/>
        </w:rPr>
        <w:t xml:space="preserve"> в романе Лены Элтанг «Каменные клены». В ходе исследования решается комплекс задач: осмыслены и охарактеризованы стилевые особенности романа «Каменные клены», категория нарратора, сюжетная основа. </w:t>
      </w:r>
    </w:p>
    <w:p>
      <w:pPr>
        <w:spacing w:line="360" w:lineRule="auto"/>
        <w:ind w:firstLine="397"/>
        <w:jc w:val="both"/>
        <w:rPr>
          <w:rFonts w:ascii="Times New Roman" w:hAnsi="Times New Roman" w:eastAsia="SimSun" w:cs="Times New Roman"/>
          <w:sz w:val="28"/>
          <w:szCs w:val="28"/>
          <w:lang w:val="ru-RU"/>
        </w:rPr>
      </w:pPr>
      <w:r>
        <w:rPr>
          <w:rFonts w:ascii="Times New Roman" w:hAnsi="Times New Roman" w:eastAsia="SimSun" w:cs="Times New Roman"/>
          <w:b/>
          <w:bCs/>
          <w:sz w:val="28"/>
          <w:szCs w:val="28"/>
          <w:lang w:val="ru-RU"/>
        </w:rPr>
        <w:t>Обзор литературы</w:t>
      </w:r>
      <w:r>
        <w:rPr>
          <w:rFonts w:ascii="Times New Roman" w:hAnsi="Times New Roman" w:eastAsia="SimSun" w:cs="Times New Roman"/>
          <w:sz w:val="28"/>
          <w:szCs w:val="28"/>
          <w:lang w:val="ru-RU"/>
        </w:rPr>
        <w:t xml:space="preserve"> </w:t>
      </w:r>
    </w:p>
    <w:p>
      <w:pPr>
        <w:spacing w:line="360" w:lineRule="auto"/>
        <w:ind w:firstLine="397"/>
        <w:jc w:val="both"/>
        <w:rPr>
          <w:rFonts w:ascii="Times New Roman" w:hAnsi="Times New Roman" w:eastAsia="SimSun" w:cs="Times New Roman"/>
          <w:sz w:val="28"/>
          <w:szCs w:val="28"/>
          <w:lang w:val="ru-RU"/>
        </w:rPr>
      </w:pPr>
      <w:r>
        <w:rPr>
          <w:rFonts w:ascii="Times New Roman" w:hAnsi="Times New Roman" w:eastAsia="SimSun" w:cs="Times New Roman"/>
          <w:sz w:val="28"/>
          <w:szCs w:val="28"/>
          <w:lang w:val="ru-RU"/>
        </w:rPr>
        <w:t>Изначально представление о точке зрения как об отдельном понятии сложилось в искусствоведении; рассуждая о категории «точка зрения», исследователи опираются на такие труды, как «О точке зрения в искусстве» Х. Ортега-и-Гассета и «Обратная перспектива» П. Флоренского. Б. А. Успенский в своем труде, посвященном проблеме точки зрения в литературоведении, говорит о роли этой категории во всех репрезентативных видах творчества: «</w:t>
      </w:r>
      <w:r>
        <w:rPr>
          <w:rFonts w:ascii="Times New Roman" w:hAnsi="Times New Roman" w:eastAsia="SimSun" w:cs="Times New Roman"/>
          <w:sz w:val="28"/>
          <w:szCs w:val="28"/>
        </w:rPr>
        <w:t>O</w:t>
      </w:r>
      <w:r>
        <w:rPr>
          <w:rFonts w:ascii="Times New Roman" w:hAnsi="Times New Roman" w:eastAsia="SimSun" w:cs="Times New Roman"/>
          <w:sz w:val="28"/>
          <w:szCs w:val="28"/>
          <w:lang w:val="ru-RU"/>
        </w:rPr>
        <w:t xml:space="preserve">на представляется центральной проблемой композиции произведения искусства – объединяющей самые различные виды искусства. Без преувеличения можно сказать, что проблема точки зрения имеет отношение ко всем видам искусства, непосредственно связанным с семантикой (…), – например, таким, как художественная литература, изобразительное искусство, театр, кино – хотя, </w:t>
      </w:r>
      <w:r>
        <w:rPr>
          <w:rFonts w:ascii="Times New Roman" w:hAnsi="Times New Roman" w:eastAsia="SimSun" w:cs="Times New Roman"/>
          <w:sz w:val="28"/>
          <w:szCs w:val="28"/>
        </w:rPr>
        <w:t>p</w:t>
      </w:r>
      <w:r>
        <w:rPr>
          <w:rFonts w:ascii="Times New Roman" w:hAnsi="Times New Roman" w:eastAsia="SimSun" w:cs="Times New Roman"/>
          <w:sz w:val="28"/>
          <w:szCs w:val="28"/>
          <w:lang w:val="ru-RU"/>
        </w:rPr>
        <w:t>азумеется, в различных видах искусства эта проблема может получать свое специфическое воплощени</w:t>
      </w:r>
      <w:r>
        <w:rPr>
          <w:rFonts w:ascii="Times New Roman" w:hAnsi="Times New Roman" w:eastAsia="SimSun" w:cs="Times New Roman"/>
          <w:sz w:val="28"/>
          <w:szCs w:val="28"/>
        </w:rPr>
        <w:t>e</w:t>
      </w:r>
      <w:r>
        <w:rPr>
          <w:rFonts w:ascii="Times New Roman" w:hAnsi="Times New Roman" w:eastAsia="SimSun" w:cs="Times New Roman"/>
          <w:sz w:val="28"/>
          <w:szCs w:val="28"/>
          <w:lang w:val="ru-RU"/>
        </w:rPr>
        <w:t>» [1]. Точку зрения Б. А. Успенский рассматривает как авторскую позицию, с которой ведется повествование; соответственно, исследовав различные авторские позиции, отношения между ними, функции каждой в тексте, можно описать и саму структуру художественного текста. В своем изначальном, неметафоричном значении точка зрения так или иначе связана с положением в пространстве. Однако на данный момент в литературоведении это понятие определяется, трактуется и классифицируется со многих и различных сторон. Рассмотрев существующие подходы к определению и классификации понятия «точка зрения», Н.</w:t>
      </w:r>
      <w:r>
        <w:rPr>
          <w:rFonts w:ascii="Times New Roman" w:hAnsi="Times New Roman" w:eastAsia="SimSun" w:cs="Times New Roman"/>
          <w:sz w:val="28"/>
          <w:szCs w:val="28"/>
        </w:rPr>
        <w:t> </w:t>
      </w:r>
      <w:r>
        <w:rPr>
          <w:rFonts w:ascii="Times New Roman" w:hAnsi="Times New Roman" w:eastAsia="SimSun" w:cs="Times New Roman"/>
          <w:sz w:val="28"/>
          <w:szCs w:val="28"/>
          <w:lang w:val="ru-RU"/>
        </w:rPr>
        <w:t xml:space="preserve">Д. Тамарченко дает ему следующую трактовку: «…точка зрения в литературном произведении – положение “наблюдателя” (повествователя, рассказчика, персонажа) в изображенном мире (во времени, в пространстве, в социально-идеологической и языковой среде), которое, с одной стороны, определяет его кругозор – как в отношении «объема» (поле зрения, степень осведомленности, уровень понимания), так и в плане оценки воспринимаемого; с другой – выражает авторскую оценку этого субъекта и его кругозора» [2, с. 221]. Термины «точка зрения», «фокализация» и «перспектива», по сути, являются синонимичными, но имеют в своей основе разные подходы к трактовке и применению понятий. Введенный Ж. Женеттом термин «фокализация» углубил представления о сложной структуре самого повествования: данный термин более абстрактен и менее связан с автором и физическим положением в пространстве, чем «точка зрения» или «фокус наррации». В. Шмид не акцентирует внимание на разнице этих понятий: «Ведь нарратор в повествовательном тексте всегда присутствует, сколь бы безличным он ни был. А потому при последовательно проводимом анализе “нейтральная” (“ничья”) точка зрения или “нулевая фокализация” немыслимы» [3]. «Точку зрения» он называет «центральной категорией нарратологии» и дает ей следующее определение: «Мы определяем это понятие как образуемый внешними и внутренними факторами узел условий, влияющих на восприятие и передачу событий» [3]. Другие зарубежные исследователи также выделяют точку зрения и нарратора как ведущие организующие нарративные категории. </w:t>
      </w:r>
    </w:p>
    <w:p>
      <w:pPr>
        <w:spacing w:line="360" w:lineRule="auto"/>
        <w:ind w:firstLine="397"/>
        <w:jc w:val="both"/>
        <w:rPr>
          <w:rFonts w:ascii="Times New Roman" w:hAnsi="Times New Roman" w:eastAsia="SimSun" w:cs="Times New Roman"/>
          <w:sz w:val="28"/>
          <w:szCs w:val="28"/>
          <w:lang w:val="ru-RU"/>
        </w:rPr>
      </w:pPr>
      <w:r>
        <w:rPr>
          <w:rFonts w:ascii="Times New Roman" w:hAnsi="Times New Roman" w:eastAsia="SimSun" w:cs="Times New Roman"/>
          <w:sz w:val="28"/>
          <w:szCs w:val="28"/>
          <w:lang w:val="ru-RU"/>
        </w:rPr>
        <w:t>&lt;…&gt;</w:t>
      </w:r>
    </w:p>
    <w:p>
      <w:pPr>
        <w:spacing w:line="360" w:lineRule="auto"/>
        <w:ind w:firstLine="397"/>
        <w:jc w:val="both"/>
        <w:rPr>
          <w:rFonts w:ascii="Times New Roman" w:hAnsi="Times New Roman" w:eastAsia="SimSun" w:cs="Times New Roman"/>
          <w:sz w:val="28"/>
          <w:szCs w:val="28"/>
          <w:lang w:val="ru-RU"/>
        </w:rPr>
      </w:pPr>
      <w:r>
        <w:rPr>
          <w:rFonts w:ascii="Times New Roman" w:hAnsi="Times New Roman" w:eastAsia="SimSun" w:cs="Times New Roman"/>
          <w:b/>
          <w:bCs/>
          <w:sz w:val="28"/>
          <w:szCs w:val="28"/>
          <w:lang w:val="ru-RU"/>
        </w:rPr>
        <w:t>Методы исследования</w:t>
      </w:r>
      <w:r>
        <w:rPr>
          <w:rFonts w:ascii="Times New Roman" w:hAnsi="Times New Roman" w:eastAsia="SimSun" w:cs="Times New Roman"/>
          <w:sz w:val="28"/>
          <w:szCs w:val="28"/>
          <w:lang w:val="ru-RU"/>
        </w:rPr>
        <w:t xml:space="preserve"> </w:t>
      </w:r>
    </w:p>
    <w:p>
      <w:pPr>
        <w:spacing w:line="360" w:lineRule="auto"/>
        <w:ind w:firstLine="397"/>
        <w:jc w:val="both"/>
        <w:rPr>
          <w:rFonts w:ascii="Times New Roman" w:hAnsi="Times New Roman" w:eastAsia="SimSun" w:cs="Times New Roman"/>
          <w:sz w:val="28"/>
          <w:szCs w:val="28"/>
          <w:lang w:val="ru-RU"/>
        </w:rPr>
      </w:pPr>
      <w:r>
        <w:rPr>
          <w:rFonts w:ascii="Times New Roman" w:hAnsi="Times New Roman" w:eastAsia="SimSun" w:cs="Times New Roman"/>
          <w:sz w:val="28"/>
          <w:szCs w:val="28"/>
          <w:lang w:val="ru-RU"/>
        </w:rPr>
        <w:t xml:space="preserve">В процессе исследования были использованы методы синтеза и классификации семиотического материала, ноэматический и семиотический анализ художественного литературного текста. В процессе обработки эмпирического материала были использованы методы контекстологического анализа, наблюдения и описания различных фрагментов миметического текстового образца. </w:t>
      </w:r>
    </w:p>
    <w:p>
      <w:pPr>
        <w:spacing w:line="360" w:lineRule="auto"/>
        <w:ind w:firstLine="397"/>
        <w:jc w:val="both"/>
        <w:rPr>
          <w:rFonts w:ascii="Times New Roman" w:hAnsi="Times New Roman" w:eastAsia="SimSun" w:cs="Times New Roman"/>
          <w:b/>
          <w:bCs/>
          <w:sz w:val="28"/>
          <w:szCs w:val="28"/>
          <w:lang w:val="ru-RU"/>
        </w:rPr>
      </w:pPr>
      <w:r>
        <w:rPr>
          <w:rFonts w:ascii="Times New Roman" w:hAnsi="Times New Roman" w:eastAsia="SimSun" w:cs="Times New Roman"/>
          <w:b/>
          <w:bCs/>
          <w:sz w:val="28"/>
          <w:szCs w:val="28"/>
          <w:lang w:val="ru-RU"/>
        </w:rPr>
        <w:t xml:space="preserve">Результаты и дискуссия </w:t>
      </w:r>
    </w:p>
    <w:p>
      <w:pPr>
        <w:spacing w:line="360" w:lineRule="auto"/>
        <w:ind w:firstLine="397"/>
        <w:jc w:val="both"/>
        <w:rPr>
          <w:rFonts w:ascii="Times New Roman" w:hAnsi="Times New Roman" w:eastAsia="SimSun" w:cs="Times New Roman"/>
          <w:sz w:val="28"/>
          <w:szCs w:val="28"/>
          <w:lang w:val="ru-RU"/>
        </w:rPr>
      </w:pPr>
      <w:r>
        <w:rPr>
          <w:rFonts w:ascii="Times New Roman" w:hAnsi="Times New Roman" w:eastAsia="SimSun" w:cs="Times New Roman"/>
          <w:sz w:val="28"/>
          <w:szCs w:val="28"/>
          <w:lang w:val="ru-RU"/>
        </w:rPr>
        <w:t>Нарратив в настоящее время является понятием сверхлитературным. Осмысляясь современным литературоведением отчасти как синоним терминов «рассказывание» и «повествование», нарратив и нарратология выходят за пределы только лишь вербализованного знакового комплекса. Актуальное учение о нарративе включает обязательное понятие – «событие рассказывания», которое Н.</w:t>
      </w:r>
      <w:r>
        <w:rPr>
          <w:rFonts w:ascii="Times New Roman" w:hAnsi="Times New Roman" w:eastAsia="SimSun" w:cs="Times New Roman"/>
          <w:sz w:val="28"/>
          <w:szCs w:val="28"/>
        </w:rPr>
        <w:t> </w:t>
      </w:r>
      <w:r>
        <w:rPr>
          <w:rFonts w:ascii="Times New Roman" w:hAnsi="Times New Roman" w:eastAsia="SimSun" w:cs="Times New Roman"/>
          <w:sz w:val="28"/>
          <w:szCs w:val="28"/>
          <w:lang w:val="ru-RU"/>
        </w:rPr>
        <w:t>Д. Тамарченко определяет как «…общение между субъектом высказывания в художественном произведении и его адресатом-читателем, в ходе которого или посредством которого произведение изображает и оценивает свой предмет» [2, с. 206]. Мир художественного произведения, изображенное, вымысел – это всегда картина, которую читатель видит чьими-то глазами. Это не глаза автора, это мир глазами того человека, который рассказывает ту или иную историю. Будь он ее участником, свидетелем, слышал он ее от кого-то или всегда и незримо наблюдает за ней – мы фокусируемся, следим и обращаем внимание только на то, что «показывает» нам субъект речи (термин Н. Д. Тамарченко): «Нарратор, таким образом, является конструктом, составленным из симптомов повествовательного текста» [3].</w:t>
      </w:r>
    </w:p>
    <w:p>
      <w:pPr>
        <w:spacing w:line="360" w:lineRule="auto"/>
        <w:ind w:firstLine="397"/>
        <w:jc w:val="both"/>
        <w:rPr>
          <w:rFonts w:ascii="Times New Roman" w:hAnsi="Times New Roman" w:eastAsia="SimSun" w:cs="Times New Roman"/>
          <w:sz w:val="28"/>
          <w:szCs w:val="28"/>
          <w:lang w:val="ru-RU"/>
        </w:rPr>
      </w:pPr>
      <w:r>
        <w:rPr>
          <w:rFonts w:ascii="Times New Roman" w:hAnsi="Times New Roman" w:eastAsia="SimSun" w:cs="Times New Roman"/>
          <w:sz w:val="28"/>
          <w:szCs w:val="28"/>
          <w:lang w:val="ru-RU"/>
        </w:rPr>
        <w:t xml:space="preserve">Ведущая особенность романа «Каменные клены» – отсутствие в тексте одного нарратора. Текст представляет нам нескольких субъектов речи, которые выступают в роли повествователей. Различные сюжетные линии, формы повествования и нарраторы заменяют и дополняют друг друга, переплетаются воедино, организуя уникальный нарративный тон произведения. Понимая и рассматривая коммуникативный акт как природу литературы, нарратология активизирует функции читателя художественного текста, отдавая ему одну из ведущих ролей в процессе понимания и трактовки текста. Сложный «фрагментарный» нарратив и детективная основа «Каменных кленов» активизируют читателя, предоставляя ему простор и для воображения, и для своей собственной интерпретации текста. Каждый дневник – это отдельная линия, отдельная история со своим «повествователем». Каждая точка зрения и каждый субъект речи в романе глубоко субъективны. </w:t>
      </w:r>
    </w:p>
    <w:p>
      <w:pPr>
        <w:spacing w:line="360" w:lineRule="auto"/>
        <w:ind w:firstLine="397"/>
        <w:jc w:val="both"/>
        <w:rPr>
          <w:rFonts w:ascii="Times New Roman" w:hAnsi="Times New Roman" w:eastAsia="SimSun" w:cs="Times New Roman"/>
          <w:sz w:val="28"/>
          <w:szCs w:val="28"/>
          <w:lang w:val="ru-RU"/>
        </w:rPr>
      </w:pPr>
      <w:r>
        <w:rPr>
          <w:rFonts w:ascii="Times New Roman" w:hAnsi="Times New Roman" w:eastAsia="SimSun" w:cs="Times New Roman"/>
          <w:sz w:val="28"/>
          <w:szCs w:val="28"/>
          <w:lang w:val="ru-RU"/>
        </w:rPr>
        <w:t>&lt;…&gt;</w:t>
      </w:r>
    </w:p>
    <w:p>
      <w:pPr>
        <w:spacing w:line="360" w:lineRule="auto"/>
        <w:ind w:firstLine="397"/>
        <w:jc w:val="both"/>
        <w:rPr>
          <w:rFonts w:ascii="Times New Roman" w:hAnsi="Times New Roman" w:eastAsia="SimSun" w:cs="Times New Roman"/>
          <w:sz w:val="28"/>
          <w:szCs w:val="28"/>
          <w:lang w:val="ru-RU"/>
        </w:rPr>
      </w:pPr>
      <w:r>
        <w:rPr>
          <w:rFonts w:ascii="Times New Roman" w:hAnsi="Times New Roman" w:eastAsia="SimSun" w:cs="Times New Roman"/>
          <w:b/>
          <w:bCs/>
          <w:sz w:val="28"/>
          <w:szCs w:val="28"/>
          <w:lang w:val="ru-RU"/>
        </w:rPr>
        <w:t>Выводы</w:t>
      </w:r>
    </w:p>
    <w:p>
      <w:pPr>
        <w:spacing w:line="360" w:lineRule="auto"/>
        <w:ind w:firstLine="397"/>
        <w:jc w:val="both"/>
        <w:rPr>
          <w:rFonts w:ascii="Times New Roman" w:hAnsi="Times New Roman" w:eastAsia="SimSun" w:cs="Times New Roman"/>
          <w:sz w:val="28"/>
          <w:szCs w:val="28"/>
          <w:lang w:val="ru-RU"/>
        </w:rPr>
      </w:pPr>
      <w:r>
        <w:rPr>
          <w:rFonts w:ascii="Times New Roman" w:hAnsi="Times New Roman" w:eastAsia="SimSun" w:cs="Times New Roman"/>
          <w:sz w:val="28"/>
          <w:szCs w:val="28"/>
          <w:lang w:val="ru-RU"/>
        </w:rPr>
        <w:t xml:space="preserve">Дневники героев Элтанг – это рефлексия, анализ, восприятие, осмысление: себя, своих поступков и своего места в мире, попытка через текст, через свои мысли и слова найти гармонию – и внутри, и снаружи себя. Каждый персонаж романа – это и автор, и действующее лицо, и сторонний наблюдатель, и нарратор своей личной сюжетной композиционной линии. Дневники героев теряют основные характеристики именно дневниковых записей: в них нет искренности, достоверности, они созданы с ориентацией на читателя и стороннее восприятие. Таким образом, единое полотно романа состоит из множества композиционных линий – линейных текстов, каждый из которых имеет и своего субъекта речи, и свою фабульную наполненность, и особенную визуальную выразительность. «События рассказывания» каждого текстового компонента отличают «главы» друг от друга и составляют общую, особенную и индивидуальную, нарративную ткань романа. В «Каменных кленах» формируется необъективный, ложный нарратив, разрушающий принципы классического повествования. В романе соединяется множество точек зрения, отражающих отличающиеся, разнохарактерные взгляды на общее фабульное событие. В рамках детективного сюжета несколько взглядов и мнений должны помочь в формировании общей картины, в разгадке тайны, однако повествовательные линии, ведущиеся разными нарраторами, разнятся, иногда даже опровергая друг друга. Коммуникативная основа нарративного произведения, «мозаичность» повествования, разноуровневые авторские загадки и детективная база романа активируют роль читателя «Каменных кленов», которому отдается функция одного из нарраторов произведения. В романе Элтанг множественность точек зрения задана не ради прояснения и кристаллизации сюжета, а ради активизации самой категории </w:t>
      </w:r>
      <w:r>
        <w:rPr>
          <w:rFonts w:ascii="Times New Roman" w:hAnsi="Times New Roman" w:eastAsia="SimSun" w:cs="Times New Roman"/>
          <w:i/>
          <w:iCs/>
          <w:sz w:val="28"/>
          <w:szCs w:val="28"/>
          <w:lang w:val="ru-RU"/>
        </w:rPr>
        <w:t>точки зрения</w:t>
      </w:r>
      <w:r>
        <w:rPr>
          <w:rFonts w:ascii="Times New Roman" w:hAnsi="Times New Roman" w:eastAsia="SimSun" w:cs="Times New Roman"/>
          <w:sz w:val="28"/>
          <w:szCs w:val="28"/>
          <w:lang w:val="ru-RU"/>
        </w:rPr>
        <w:t xml:space="preserve">. Столкновение в романе множества различных, в том числе и разногендерных, точек зрения, «дробит» нарратив и осложняет саму детективную ситуацию, делая ее калейдоскопичной и вариативной. </w:t>
      </w:r>
    </w:p>
    <w:p>
      <w:pPr>
        <w:spacing w:line="360" w:lineRule="auto"/>
        <w:ind w:firstLine="397"/>
        <w:jc w:val="both"/>
        <w:rPr>
          <w:rFonts w:ascii="Times New Roman" w:hAnsi="Times New Roman" w:eastAsia="SimSun" w:cs="Times New Roman"/>
          <w:b/>
          <w:bCs/>
          <w:sz w:val="28"/>
          <w:szCs w:val="28"/>
          <w:lang w:val="ru-RU"/>
        </w:rPr>
      </w:pPr>
    </w:p>
    <w:p>
      <w:pPr>
        <w:spacing w:line="360" w:lineRule="auto"/>
        <w:ind w:firstLine="397"/>
        <w:jc w:val="both"/>
        <w:rPr>
          <w:rFonts w:ascii="Times New Roman" w:hAnsi="Times New Roman" w:eastAsia="SimSun" w:cs="Times New Roman"/>
          <w:b/>
          <w:bCs/>
          <w:sz w:val="28"/>
          <w:szCs w:val="28"/>
          <w:lang w:val="ru-RU"/>
        </w:rPr>
      </w:pPr>
      <w:r>
        <w:rPr>
          <w:rFonts w:ascii="Times New Roman" w:hAnsi="Times New Roman" w:eastAsia="SimSun" w:cs="Times New Roman"/>
          <w:b/>
          <w:bCs/>
          <w:sz w:val="28"/>
          <w:szCs w:val="28"/>
          <w:lang w:val="ru-RU"/>
        </w:rPr>
        <w:t>Список литературы</w:t>
      </w:r>
    </w:p>
    <w:p>
      <w:pPr>
        <w:pStyle w:val="5"/>
        <w:numPr>
          <w:ilvl w:val="0"/>
          <w:numId w:val="1"/>
        </w:numPr>
        <w:tabs>
          <w:tab w:val="left" w:pos="851"/>
        </w:tabs>
        <w:spacing w:line="360" w:lineRule="auto"/>
        <w:ind w:left="0" w:firstLine="397"/>
        <w:jc w:val="both"/>
        <w:rPr>
          <w:rFonts w:ascii="Times New Roman" w:hAnsi="Times New Roman" w:eastAsia="SimSun" w:cs="Times New Roman"/>
          <w:sz w:val="28"/>
          <w:szCs w:val="28"/>
          <w:lang w:val="ru-RU"/>
        </w:rPr>
      </w:pPr>
      <w:r>
        <w:rPr>
          <w:rFonts w:ascii="Times New Roman" w:hAnsi="Times New Roman" w:eastAsia="SimSun" w:cs="Times New Roman"/>
          <w:sz w:val="28"/>
          <w:szCs w:val="28"/>
          <w:lang w:val="ru-RU"/>
        </w:rPr>
        <w:t>Успенский, Б. А. Поэтика композиции / Б. А. Успенский. – СПб. : Азбука, 2000. – 347 с.</w:t>
      </w:r>
    </w:p>
    <w:p>
      <w:pPr>
        <w:pStyle w:val="5"/>
        <w:numPr>
          <w:ilvl w:val="0"/>
          <w:numId w:val="1"/>
        </w:numPr>
        <w:tabs>
          <w:tab w:val="left" w:pos="851"/>
        </w:tabs>
        <w:spacing w:line="360" w:lineRule="auto"/>
        <w:ind w:left="0" w:firstLine="397"/>
        <w:jc w:val="both"/>
        <w:rPr>
          <w:rFonts w:ascii="Times New Roman" w:hAnsi="Times New Roman" w:eastAsia="SimSun" w:cs="Times New Roman"/>
          <w:sz w:val="28"/>
          <w:szCs w:val="28"/>
          <w:lang w:val="ru-RU"/>
        </w:rPr>
      </w:pPr>
      <w:r>
        <w:rPr>
          <w:rFonts w:ascii="Times New Roman" w:hAnsi="Times New Roman" w:eastAsia="SimSun" w:cs="Times New Roman"/>
          <w:sz w:val="28"/>
          <w:szCs w:val="28"/>
          <w:lang w:val="ru-RU"/>
        </w:rPr>
        <w:t>Тамарченко, Н. Д. Теория литературы: в 2 т. Т. 1. Теория художественного дискурса / Н. Д. Тамарченко ; под ред. Н. Д. Тамарченко. – М. : Академия, 2007. – 509 с.</w:t>
      </w:r>
    </w:p>
    <w:p>
      <w:pPr>
        <w:pStyle w:val="5"/>
        <w:numPr>
          <w:ilvl w:val="0"/>
          <w:numId w:val="1"/>
        </w:numPr>
        <w:tabs>
          <w:tab w:val="left" w:pos="851"/>
        </w:tabs>
        <w:spacing w:line="360" w:lineRule="auto"/>
        <w:ind w:left="0" w:firstLine="397"/>
        <w:jc w:val="both"/>
        <w:rPr>
          <w:rFonts w:ascii="Times New Roman" w:hAnsi="Times New Roman" w:cs="Times New Roman"/>
          <w:sz w:val="28"/>
          <w:szCs w:val="28"/>
        </w:rPr>
      </w:pPr>
      <w:r>
        <w:rPr>
          <w:rFonts w:ascii="Times New Roman" w:hAnsi="Times New Roman" w:eastAsia="SimSun" w:cs="Times New Roman"/>
          <w:sz w:val="28"/>
          <w:szCs w:val="28"/>
        </w:rPr>
        <w:t>Fludernik, M. An Introduction to Narratology / M. Fludernik. – Routledge, 2009. – 190 p.</w:t>
      </w:r>
    </w:p>
    <w:p>
      <w:pPr>
        <w:pStyle w:val="5"/>
        <w:numPr>
          <w:ilvl w:val="0"/>
          <w:numId w:val="1"/>
        </w:numPr>
        <w:tabs>
          <w:tab w:val="left" w:pos="851"/>
        </w:tabs>
        <w:spacing w:line="360" w:lineRule="auto"/>
        <w:ind w:left="0" w:firstLine="397"/>
        <w:jc w:val="both"/>
        <w:rPr>
          <w:rFonts w:ascii="Times New Roman" w:hAnsi="Times New Roman" w:cs="Times New Roman"/>
          <w:sz w:val="28"/>
          <w:szCs w:val="28"/>
          <w:lang w:val="ru-RU"/>
        </w:rPr>
      </w:pPr>
      <w:r>
        <w:rPr>
          <w:rFonts w:ascii="Times New Roman" w:hAnsi="Times New Roman" w:eastAsia="SimSun" w:cs="Times New Roman"/>
          <w:sz w:val="28"/>
          <w:szCs w:val="28"/>
          <w:lang w:val="ru-RU"/>
        </w:rPr>
        <w:t xml:space="preserve">Тюпа, В. И. Что такое «нарративная модальность»? / В. И. Тюпа. – </w:t>
      </w:r>
      <w:r>
        <w:rPr>
          <w:rFonts w:ascii="Times New Roman" w:hAnsi="Times New Roman" w:eastAsia="SimSun" w:cs="Times New Roman"/>
          <w:sz w:val="28"/>
          <w:szCs w:val="28"/>
        </w:rPr>
        <w:t>URL</w:t>
      </w:r>
      <w:r>
        <w:rPr>
          <w:rFonts w:ascii="Times New Roman" w:hAnsi="Times New Roman" w:eastAsia="SimSun" w:cs="Times New Roman"/>
          <w:sz w:val="28"/>
          <w:szCs w:val="28"/>
          <w:lang w:val="ru-RU"/>
        </w:rPr>
        <w:t xml:space="preserve">: </w:t>
      </w:r>
      <w:r>
        <w:fldChar w:fldCharType="begin"/>
      </w:r>
      <w:r>
        <w:instrText xml:space="preserve"> HYPERLINK "https://www.opennar.com/singlepost/2016/03/27/" </w:instrText>
      </w:r>
      <w:r>
        <w:fldChar w:fldCharType="separate"/>
      </w:r>
      <w:r>
        <w:rPr>
          <w:rStyle w:val="4"/>
          <w:rFonts w:ascii="Times New Roman" w:hAnsi="Times New Roman" w:eastAsia="SimSun" w:cs="Times New Roman"/>
          <w:color w:val="auto"/>
          <w:sz w:val="28"/>
          <w:szCs w:val="28"/>
          <w:u w:val="none"/>
        </w:rPr>
        <w:t>https</w:t>
      </w:r>
      <w:r>
        <w:rPr>
          <w:rStyle w:val="4"/>
          <w:rFonts w:ascii="Times New Roman" w:hAnsi="Times New Roman" w:eastAsia="SimSun" w:cs="Times New Roman"/>
          <w:color w:val="auto"/>
          <w:sz w:val="28"/>
          <w:szCs w:val="28"/>
          <w:u w:val="none"/>
          <w:lang w:val="ru-RU"/>
        </w:rPr>
        <w:t>://</w:t>
      </w:r>
      <w:r>
        <w:rPr>
          <w:rStyle w:val="4"/>
          <w:rFonts w:ascii="Times New Roman" w:hAnsi="Times New Roman" w:eastAsia="SimSun" w:cs="Times New Roman"/>
          <w:color w:val="auto"/>
          <w:sz w:val="28"/>
          <w:szCs w:val="28"/>
          <w:u w:val="none"/>
        </w:rPr>
        <w:t>www</w:t>
      </w:r>
      <w:r>
        <w:rPr>
          <w:rStyle w:val="4"/>
          <w:rFonts w:ascii="Times New Roman" w:hAnsi="Times New Roman" w:eastAsia="SimSun" w:cs="Times New Roman"/>
          <w:color w:val="auto"/>
          <w:sz w:val="28"/>
          <w:szCs w:val="28"/>
          <w:u w:val="none"/>
          <w:lang w:val="ru-RU"/>
        </w:rPr>
        <w:t>.</w:t>
      </w:r>
      <w:r>
        <w:rPr>
          <w:rStyle w:val="4"/>
          <w:rFonts w:ascii="Times New Roman" w:hAnsi="Times New Roman" w:eastAsia="SimSun" w:cs="Times New Roman"/>
          <w:color w:val="auto"/>
          <w:sz w:val="28"/>
          <w:szCs w:val="28"/>
          <w:u w:val="none"/>
        </w:rPr>
        <w:t>opennar</w:t>
      </w:r>
      <w:r>
        <w:rPr>
          <w:rStyle w:val="4"/>
          <w:rFonts w:ascii="Times New Roman" w:hAnsi="Times New Roman" w:eastAsia="SimSun" w:cs="Times New Roman"/>
          <w:color w:val="auto"/>
          <w:sz w:val="28"/>
          <w:szCs w:val="28"/>
          <w:u w:val="none"/>
          <w:lang w:val="ru-RU"/>
        </w:rPr>
        <w:t>.</w:t>
      </w:r>
      <w:r>
        <w:rPr>
          <w:rStyle w:val="4"/>
          <w:rFonts w:ascii="Times New Roman" w:hAnsi="Times New Roman" w:eastAsia="SimSun" w:cs="Times New Roman"/>
          <w:color w:val="auto"/>
          <w:sz w:val="28"/>
          <w:szCs w:val="28"/>
          <w:u w:val="none"/>
        </w:rPr>
        <w:t>com</w:t>
      </w:r>
      <w:r>
        <w:rPr>
          <w:rStyle w:val="4"/>
          <w:rFonts w:ascii="Times New Roman" w:hAnsi="Times New Roman" w:eastAsia="SimSun" w:cs="Times New Roman"/>
          <w:color w:val="auto"/>
          <w:sz w:val="28"/>
          <w:szCs w:val="28"/>
          <w:u w:val="none"/>
          <w:lang w:val="ru-RU"/>
        </w:rPr>
        <w:t>/</w:t>
      </w:r>
      <w:r>
        <w:rPr>
          <w:rStyle w:val="4"/>
          <w:rFonts w:ascii="Times New Roman" w:hAnsi="Times New Roman" w:eastAsia="SimSun" w:cs="Times New Roman"/>
          <w:color w:val="auto"/>
          <w:sz w:val="28"/>
          <w:szCs w:val="28"/>
          <w:u w:val="none"/>
        </w:rPr>
        <w:t>singlepost</w:t>
      </w:r>
      <w:r>
        <w:rPr>
          <w:rStyle w:val="4"/>
          <w:rFonts w:ascii="Times New Roman" w:hAnsi="Times New Roman" w:eastAsia="SimSun" w:cs="Times New Roman"/>
          <w:color w:val="auto"/>
          <w:sz w:val="28"/>
          <w:szCs w:val="28"/>
          <w:u w:val="none"/>
          <w:lang w:val="ru-RU"/>
        </w:rPr>
        <w:t>/2016/03/27/</w:t>
      </w:r>
      <w:r>
        <w:rPr>
          <w:rStyle w:val="4"/>
          <w:rFonts w:ascii="Times New Roman" w:hAnsi="Times New Roman" w:eastAsia="SimSun" w:cs="Times New Roman"/>
          <w:color w:val="auto"/>
          <w:sz w:val="28"/>
          <w:szCs w:val="28"/>
          <w:u w:val="none"/>
          <w:lang w:val="ru-RU"/>
        </w:rPr>
        <w:fldChar w:fldCharType="end"/>
      </w:r>
      <w:r>
        <w:rPr>
          <w:rFonts w:ascii="Times New Roman" w:hAnsi="Times New Roman" w:eastAsia="SimSun" w:cs="Times New Roman"/>
          <w:sz w:val="28"/>
          <w:szCs w:val="28"/>
          <w:lang w:val="ru-RU"/>
        </w:rPr>
        <w:t xml:space="preserve"> (дата обращения: 20.03.2018). </w:t>
      </w:r>
    </w:p>
    <w:p>
      <w:pPr>
        <w:pStyle w:val="5"/>
        <w:numPr>
          <w:ilvl w:val="0"/>
          <w:numId w:val="1"/>
        </w:numPr>
        <w:tabs>
          <w:tab w:val="left" w:pos="851"/>
        </w:tabs>
        <w:spacing w:line="360" w:lineRule="auto"/>
        <w:ind w:left="0" w:firstLine="397"/>
        <w:jc w:val="both"/>
        <w:rPr>
          <w:rFonts w:ascii="Times New Roman" w:hAnsi="Times New Roman" w:cs="Times New Roman"/>
          <w:sz w:val="28"/>
          <w:szCs w:val="28"/>
          <w:lang w:val="ru-RU"/>
        </w:rPr>
      </w:pPr>
      <w:r>
        <w:rPr>
          <w:rFonts w:ascii="Times New Roman" w:hAnsi="Times New Roman" w:eastAsia="SimSun" w:cs="Times New Roman"/>
          <w:sz w:val="28"/>
          <w:szCs w:val="28"/>
          <w:lang w:val="ru-RU"/>
        </w:rPr>
        <w:t xml:space="preserve">Урицкий, А. Переводные картинки, или Борьба с небытием / А. Урицкий // Новое литературное обозрение. – 2010. – № 104. – С. 27–30. </w:t>
      </w:r>
    </w:p>
    <w:p>
      <w:pPr>
        <w:pStyle w:val="5"/>
        <w:numPr>
          <w:ilvl w:val="0"/>
          <w:numId w:val="1"/>
        </w:numPr>
        <w:tabs>
          <w:tab w:val="left" w:pos="851"/>
        </w:tabs>
        <w:spacing w:line="360" w:lineRule="auto"/>
        <w:ind w:left="0" w:firstLine="397"/>
        <w:jc w:val="both"/>
        <w:rPr>
          <w:rFonts w:ascii="Times New Roman" w:hAnsi="Times New Roman" w:cs="Times New Roman"/>
          <w:sz w:val="28"/>
          <w:szCs w:val="28"/>
          <w:lang w:val="ru-RU"/>
        </w:rPr>
      </w:pPr>
      <w:r>
        <w:rPr>
          <w:rFonts w:ascii="Times New Roman" w:hAnsi="Times New Roman" w:eastAsia="SimSun" w:cs="Times New Roman"/>
          <w:sz w:val="28"/>
          <w:szCs w:val="28"/>
          <w:lang w:val="ru-RU"/>
        </w:rPr>
        <w:t xml:space="preserve">Семьян Т. Ф. Поэтика романа Лены Элтанг «Каменные клены» / Т. Ф. Семьян // Проблемы поэтики и стиховедения: материалы </w:t>
      </w:r>
      <w:r>
        <w:rPr>
          <w:rFonts w:ascii="Times New Roman" w:hAnsi="Times New Roman" w:eastAsia="SimSun" w:cs="Times New Roman"/>
          <w:sz w:val="28"/>
          <w:szCs w:val="28"/>
        </w:rPr>
        <w:t>VII</w:t>
      </w:r>
      <w:r>
        <w:rPr>
          <w:rFonts w:ascii="Times New Roman" w:hAnsi="Times New Roman" w:eastAsia="SimSun" w:cs="Times New Roman"/>
          <w:sz w:val="28"/>
          <w:szCs w:val="28"/>
          <w:lang w:val="ru-RU"/>
        </w:rPr>
        <w:t xml:space="preserve"> Международной научно-теоретической конф., посвящ. 70-летию Победы в Великой Отечественной войне и 100-летию со дня рождения выдающегося ученого, Героя Советского Союза Малика Габдуллина.</w:t>
      </w:r>
      <w:r>
        <w:rPr>
          <w:rFonts w:ascii="Times New Roman" w:hAnsi="Times New Roman" w:eastAsia="SimSun" w:cs="Times New Roman"/>
          <w:sz w:val="28"/>
          <w:szCs w:val="28"/>
        </w:rPr>
        <w:t> </w:t>
      </w:r>
      <w:r>
        <w:rPr>
          <w:rFonts w:ascii="Times New Roman" w:hAnsi="Times New Roman" w:eastAsia="SimSun" w:cs="Times New Roman"/>
          <w:sz w:val="28"/>
          <w:szCs w:val="28"/>
          <w:lang w:val="ru-RU"/>
        </w:rPr>
        <w:t xml:space="preserve">– Алматы, 2015. – С. 195–197. </w:t>
      </w:r>
    </w:p>
    <w:p>
      <w:pPr>
        <w:pStyle w:val="5"/>
        <w:numPr>
          <w:ilvl w:val="0"/>
          <w:numId w:val="1"/>
        </w:numPr>
        <w:tabs>
          <w:tab w:val="left" w:pos="851"/>
        </w:tabs>
        <w:spacing w:line="360" w:lineRule="auto"/>
        <w:ind w:left="0" w:firstLine="397"/>
        <w:jc w:val="both"/>
        <w:rPr>
          <w:rFonts w:ascii="Times New Roman" w:hAnsi="Times New Roman" w:cs="Times New Roman"/>
          <w:sz w:val="28"/>
          <w:szCs w:val="28"/>
          <w:lang w:val="ru-RU"/>
        </w:rPr>
      </w:pPr>
      <w:r>
        <w:rPr>
          <w:rFonts w:ascii="Times New Roman" w:hAnsi="Times New Roman" w:eastAsia="SimSun" w:cs="Times New Roman"/>
          <w:sz w:val="28"/>
          <w:szCs w:val="28"/>
          <w:lang w:val="ru-RU"/>
        </w:rPr>
        <w:t>Элтанг, Л. Каменные клены / Л. Элтанг. – М. : АСТ, 2008. – 412</w:t>
      </w:r>
      <w:r>
        <w:rPr>
          <w:rFonts w:ascii="Times New Roman" w:hAnsi="Times New Roman" w:eastAsia="SimSun" w:cs="Times New Roman"/>
          <w:sz w:val="28"/>
          <w:szCs w:val="28"/>
        </w:rPr>
        <w:t> </w:t>
      </w:r>
      <w:r>
        <w:rPr>
          <w:rFonts w:ascii="Times New Roman" w:hAnsi="Times New Roman" w:eastAsia="SimSun" w:cs="Times New Roman"/>
          <w:sz w:val="28"/>
          <w:szCs w:val="28"/>
          <w:lang w:val="ru-RU"/>
        </w:rPr>
        <w:t>с.</w:t>
      </w:r>
    </w:p>
    <w:p>
      <w:pPr>
        <w:spacing w:line="360" w:lineRule="auto"/>
        <w:ind w:firstLine="397"/>
        <w:jc w:val="both"/>
        <w:rPr>
          <w:rFonts w:ascii="Times New Roman" w:hAnsi="Times New Roman" w:eastAsia="SimSun" w:cs="Times New Roman"/>
          <w:sz w:val="28"/>
          <w:szCs w:val="28"/>
          <w:lang w:val="ru-RU"/>
        </w:rPr>
      </w:pPr>
    </w:p>
    <w:p>
      <w:pPr>
        <w:spacing w:line="360" w:lineRule="auto"/>
        <w:ind w:firstLine="397"/>
        <w:jc w:val="both"/>
        <w:rPr>
          <w:rFonts w:ascii="Times New Roman" w:hAnsi="Times New Roman" w:eastAsia="SimSun" w:cs="Times New Roman"/>
          <w:b/>
          <w:bCs/>
          <w:sz w:val="28"/>
          <w:szCs w:val="28"/>
        </w:rPr>
      </w:pPr>
      <w:r>
        <w:rPr>
          <w:rFonts w:ascii="Times New Roman" w:hAnsi="Times New Roman" w:eastAsia="SimSun" w:cs="Times New Roman"/>
          <w:b/>
          <w:bCs/>
          <w:sz w:val="28"/>
          <w:szCs w:val="28"/>
        </w:rPr>
        <w:t xml:space="preserve">References </w:t>
      </w:r>
    </w:p>
    <w:p>
      <w:pPr>
        <w:numPr>
          <w:ilvl w:val="0"/>
          <w:numId w:val="2"/>
        </w:numPr>
        <w:spacing w:line="360" w:lineRule="auto"/>
        <w:ind w:firstLine="397"/>
        <w:jc w:val="both"/>
        <w:rPr>
          <w:rFonts w:ascii="Times New Roman" w:hAnsi="Times New Roman" w:eastAsia="SimSun" w:cs="Times New Roman"/>
          <w:sz w:val="28"/>
          <w:szCs w:val="28"/>
        </w:rPr>
      </w:pPr>
      <w:r>
        <w:rPr>
          <w:rFonts w:ascii="Times New Roman" w:hAnsi="Times New Roman" w:eastAsia="SimSun" w:cs="Times New Roman"/>
          <w:sz w:val="28"/>
          <w:szCs w:val="28"/>
        </w:rPr>
        <w:t>Uspensky B.A. Poetika kompozitsii [Poetics of Composition]. St. Petersburg: ABC, 2000. 347 s.</w:t>
      </w:r>
    </w:p>
    <w:p>
      <w:pPr>
        <w:numPr>
          <w:ilvl w:val="0"/>
          <w:numId w:val="2"/>
        </w:numPr>
        <w:spacing w:line="360" w:lineRule="auto"/>
        <w:ind w:firstLine="397"/>
        <w:jc w:val="both"/>
        <w:rPr>
          <w:rFonts w:ascii="Times New Roman" w:hAnsi="Times New Roman" w:eastAsia="SimSun" w:cs="Times New Roman"/>
          <w:sz w:val="28"/>
          <w:szCs w:val="28"/>
        </w:rPr>
      </w:pPr>
      <w:r>
        <w:rPr>
          <w:rFonts w:ascii="Times New Roman" w:hAnsi="Times New Roman" w:eastAsia="SimSun" w:cs="Times New Roman"/>
          <w:sz w:val="28"/>
          <w:szCs w:val="28"/>
        </w:rPr>
        <w:t xml:space="preserve">Tamarchenko N.D. Teoriya literatury: v 2 t. T. 1. Teoriya khudozhestvennogo diskursa [Theory of Literature: in 2 vols. T. 1. Theory of Artistic Discourse]; pod redaktsiey N.D. Tamarchenko. Moscow: Academy, 2007. </w:t>
      </w:r>
      <w:r>
        <w:rPr>
          <w:rFonts w:ascii="Times New Roman" w:hAnsi="Times New Roman" w:eastAsia="SimSun" w:cs="Times New Roman"/>
          <w:sz w:val="28"/>
          <w:szCs w:val="28"/>
          <w:lang w:val="ru-RU"/>
        </w:rPr>
        <w:t xml:space="preserve">509 </w:t>
      </w:r>
    </w:p>
    <w:p>
      <w:pPr>
        <w:numPr>
          <w:ilvl w:val="0"/>
          <w:numId w:val="2"/>
        </w:numPr>
        <w:spacing w:line="360" w:lineRule="auto"/>
        <w:ind w:firstLine="397"/>
        <w:jc w:val="both"/>
        <w:rPr>
          <w:rFonts w:ascii="Times New Roman" w:hAnsi="Times New Roman" w:cs="Times New Roman"/>
          <w:sz w:val="28"/>
          <w:szCs w:val="28"/>
        </w:rPr>
      </w:pPr>
      <w:r>
        <w:rPr>
          <w:rFonts w:ascii="Times New Roman" w:hAnsi="Times New Roman" w:cs="Times New Roman"/>
          <w:sz w:val="28"/>
          <w:szCs w:val="28"/>
        </w:rPr>
        <w:t>Fludernik M. Introduction to Narratology. Routledge, 2009.</w:t>
      </w:r>
      <w:r>
        <w:t xml:space="preserve"> </w:t>
      </w:r>
      <w:r>
        <w:rPr>
          <w:rFonts w:ascii="Times New Roman" w:hAnsi="Times New Roman" w:cs="Times New Roman"/>
          <w:sz w:val="28"/>
          <w:szCs w:val="28"/>
        </w:rPr>
        <w:t>190 p.</w:t>
      </w:r>
    </w:p>
    <w:p>
      <w:pPr>
        <w:numPr>
          <w:ilvl w:val="0"/>
          <w:numId w:val="2"/>
        </w:numPr>
        <w:spacing w:line="360" w:lineRule="auto"/>
        <w:ind w:firstLine="397"/>
        <w:jc w:val="both"/>
        <w:rPr>
          <w:rFonts w:ascii="Times New Roman" w:hAnsi="Times New Roman" w:cs="Times New Roman"/>
          <w:sz w:val="28"/>
          <w:szCs w:val="28"/>
        </w:rPr>
      </w:pPr>
      <w:r>
        <w:rPr>
          <w:rFonts w:ascii="Times New Roman" w:hAnsi="Times New Roman" w:eastAsia="SimSun" w:cs="Times New Roman"/>
          <w:sz w:val="28"/>
          <w:szCs w:val="28"/>
        </w:rPr>
        <w:t xml:space="preserve">Tyupa V.I. Chto takoe «narrativnaya modal’nost’»? [What is a “Narrative Modality”?] URL: https://www.opennar.com/single-post/2016/03/27/ (data obrashcheniya: 03/20/2018). </w:t>
      </w:r>
    </w:p>
    <w:p>
      <w:pPr>
        <w:numPr>
          <w:ilvl w:val="0"/>
          <w:numId w:val="2"/>
        </w:numPr>
        <w:spacing w:line="360" w:lineRule="auto"/>
        <w:ind w:firstLine="397"/>
        <w:jc w:val="both"/>
        <w:rPr>
          <w:rFonts w:ascii="Times New Roman" w:hAnsi="Times New Roman" w:cs="Times New Roman"/>
          <w:sz w:val="28"/>
          <w:szCs w:val="28"/>
        </w:rPr>
      </w:pPr>
      <w:r>
        <w:rPr>
          <w:rFonts w:ascii="Times New Roman" w:hAnsi="Times New Roman" w:eastAsia="SimSun" w:cs="Times New Roman"/>
          <w:sz w:val="28"/>
          <w:szCs w:val="28"/>
        </w:rPr>
        <w:t xml:space="preserve">Uritsky A. Perevodnye kartinki, ili Bor'ba s nebytiem [Translations of the Picture, or the Fight Against Non-Existence] // </w:t>
      </w:r>
      <w:r>
        <w:rPr>
          <w:rFonts w:ascii="Times New Roman" w:hAnsi="Times New Roman" w:eastAsia="SimSun" w:cs="Times New Roman"/>
          <w:i/>
          <w:sz w:val="28"/>
          <w:szCs w:val="28"/>
        </w:rPr>
        <w:t>Novoe literaturnoe obozrenie</w:t>
      </w:r>
      <w:r>
        <w:rPr>
          <w:rFonts w:ascii="Times New Roman" w:hAnsi="Times New Roman" w:eastAsia="SimSun" w:cs="Times New Roman"/>
          <w:sz w:val="28"/>
          <w:szCs w:val="28"/>
        </w:rPr>
        <w:t>. 2010. № 104. S. 27–30.</w:t>
      </w:r>
    </w:p>
    <w:p>
      <w:pPr>
        <w:numPr>
          <w:ilvl w:val="0"/>
          <w:numId w:val="2"/>
        </w:numPr>
        <w:spacing w:line="360" w:lineRule="auto"/>
        <w:ind w:firstLine="397"/>
        <w:jc w:val="both"/>
        <w:rPr>
          <w:rFonts w:ascii="Times New Roman" w:hAnsi="Times New Roman" w:cs="Times New Roman"/>
          <w:sz w:val="28"/>
          <w:szCs w:val="28"/>
        </w:rPr>
      </w:pPr>
      <w:r>
        <w:rPr>
          <w:rFonts w:ascii="Times New Roman" w:hAnsi="Times New Roman" w:eastAsia="SimSun" w:cs="Times New Roman"/>
          <w:sz w:val="28"/>
          <w:szCs w:val="28"/>
        </w:rPr>
        <w:t xml:space="preserve">Semyan T.F. Poetika romana Leny Eltang «Kamennye kleny» [Poetics of Lena Eltang’s Novel Stone Maples] // </w:t>
      </w:r>
      <w:r>
        <w:rPr>
          <w:rFonts w:ascii="Times New Roman" w:hAnsi="Times New Roman" w:eastAsia="SimSun" w:cs="Times New Roman"/>
          <w:i/>
          <w:sz w:val="28"/>
          <w:szCs w:val="28"/>
        </w:rPr>
        <w:t>Problemy poetiki i stikhovedeniya: materialy VII Mezhdunarodnoy nauchno-teoreticheskoy konferentsii, posvyashchennoy 70-letiyu Pobedy v Velikoy Otechestvennoy voyne i 100-letiyu so dnya rozhdeniya vydayushchegosya uchenogo, Geroya Sovetskogo Soyuza Malika Gabdullina</w:t>
      </w:r>
      <w:r>
        <w:rPr>
          <w:rFonts w:ascii="Times New Roman" w:hAnsi="Times New Roman" w:eastAsia="SimSun" w:cs="Times New Roman"/>
          <w:sz w:val="28"/>
          <w:szCs w:val="28"/>
        </w:rPr>
        <w:t>. Almaty, 2015. S. 195–197.</w:t>
      </w:r>
    </w:p>
    <w:p>
      <w:pPr>
        <w:numPr>
          <w:ilvl w:val="0"/>
          <w:numId w:val="2"/>
        </w:numPr>
        <w:spacing w:line="360" w:lineRule="auto"/>
        <w:ind w:firstLine="397"/>
        <w:jc w:val="both"/>
        <w:rPr>
          <w:rFonts w:ascii="Times New Roman" w:hAnsi="Times New Roman" w:cs="Times New Roman"/>
          <w:sz w:val="28"/>
          <w:szCs w:val="28"/>
        </w:rPr>
      </w:pPr>
      <w:r>
        <w:rPr>
          <w:rFonts w:ascii="Times New Roman" w:hAnsi="Times New Roman" w:eastAsia="SimSun" w:cs="Times New Roman"/>
          <w:sz w:val="28"/>
          <w:szCs w:val="28"/>
        </w:rPr>
        <w:t xml:space="preserve">Eltang L. Kamennye kleny [Stone Maples]. Moscow: AST, 2008. </w:t>
      </w:r>
      <w:r>
        <w:rPr>
          <w:rFonts w:ascii="Times New Roman" w:hAnsi="Times New Roman" w:eastAsia="SimSun" w:cs="Times New Roman"/>
          <w:sz w:val="28"/>
          <w:szCs w:val="28"/>
          <w:lang w:val="ru-RU"/>
        </w:rPr>
        <w:t>412</w:t>
      </w:r>
      <w:r>
        <w:rPr>
          <w:rFonts w:ascii="Times New Roman" w:hAnsi="Times New Roman" w:eastAsia="SimSun" w:cs="Times New Roman"/>
          <w:sz w:val="28"/>
          <w:szCs w:val="28"/>
        </w:rPr>
        <w:t xml:space="preserve"> s. </w:t>
      </w:r>
    </w:p>
    <w:p>
      <w:pPr>
        <w:spacing w:line="360" w:lineRule="auto"/>
        <w:ind w:left="397"/>
        <w:jc w:val="both"/>
        <w:rPr>
          <w:rFonts w:ascii="Times New Roman" w:hAnsi="Times New Roman" w:cs="Times New Roman"/>
          <w:sz w:val="28"/>
          <w:szCs w:val="28"/>
        </w:rPr>
      </w:pPr>
    </w:p>
    <w:sectPr>
      <w:pgSz w:w="11906" w:h="16838"/>
      <w:pgMar w:top="1701" w:right="1701" w:bottom="1701" w:left="1701"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open sans">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2C4E140"/>
    <w:multiLevelType w:val="singleLevel"/>
    <w:tmpl w:val="42C4E140"/>
    <w:lvl w:ilvl="0" w:tentative="0">
      <w:start w:val="1"/>
      <w:numFmt w:val="decimal"/>
      <w:suff w:val="space"/>
      <w:lvlText w:val="%1."/>
      <w:lvlJc w:val="left"/>
    </w:lvl>
  </w:abstractNum>
  <w:abstractNum w:abstractNumId="1">
    <w:nsid w:val="61D168F7"/>
    <w:multiLevelType w:val="multilevel"/>
    <w:tmpl w:val="61D168F7"/>
    <w:lvl w:ilvl="0" w:tentative="0">
      <w:start w:val="1"/>
      <w:numFmt w:val="decimal"/>
      <w:lvlText w:val="%1."/>
      <w:lvlJc w:val="left"/>
      <w:pPr>
        <w:ind w:left="720" w:hanging="360"/>
      </w:pPr>
      <w:rPr>
        <w:rFonts w:ascii="Times New Roman" w:hAnsi="Times New Roman" w:eastAsia="SimSun" w:cs="Times New Roman"/>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autoHyphenation/>
  <w:hyphenationZone w:val="357"/>
  <w:doNotHyphenateCaps/>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0B1C"/>
    <w:rsid w:val="00042DC7"/>
    <w:rsid w:val="000B40E4"/>
    <w:rsid w:val="001C28CC"/>
    <w:rsid w:val="001E47CA"/>
    <w:rsid w:val="00202E7A"/>
    <w:rsid w:val="002076A7"/>
    <w:rsid w:val="00214328"/>
    <w:rsid w:val="002268D6"/>
    <w:rsid w:val="00247E73"/>
    <w:rsid w:val="002565E2"/>
    <w:rsid w:val="002B03D3"/>
    <w:rsid w:val="002C30BD"/>
    <w:rsid w:val="00527DBB"/>
    <w:rsid w:val="005332BB"/>
    <w:rsid w:val="006D30BA"/>
    <w:rsid w:val="00722D69"/>
    <w:rsid w:val="00775F83"/>
    <w:rsid w:val="007F02FB"/>
    <w:rsid w:val="008159AF"/>
    <w:rsid w:val="00826844"/>
    <w:rsid w:val="00863599"/>
    <w:rsid w:val="008755EF"/>
    <w:rsid w:val="008826AA"/>
    <w:rsid w:val="009C1734"/>
    <w:rsid w:val="009F3D71"/>
    <w:rsid w:val="00AC1CAB"/>
    <w:rsid w:val="00B01A67"/>
    <w:rsid w:val="00B20B1C"/>
    <w:rsid w:val="00B41F9B"/>
    <w:rsid w:val="00B81346"/>
    <w:rsid w:val="00B93F3E"/>
    <w:rsid w:val="00BE64FE"/>
    <w:rsid w:val="00C4782C"/>
    <w:rsid w:val="00D10B9B"/>
    <w:rsid w:val="00FB1731"/>
    <w:rsid w:val="00FE0FB6"/>
    <w:rsid w:val="09FE5784"/>
    <w:rsid w:val="22EA3E96"/>
    <w:rsid w:val="24F651CF"/>
    <w:rsid w:val="477C699A"/>
    <w:rsid w:val="4FBD45A6"/>
    <w:rsid w:val="7BF866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99" w:semiHidden="0" w:name="List Paragraph"/>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Hyperlink"/>
    <w:basedOn w:val="2"/>
    <w:qFormat/>
    <w:uiPriority w:val="0"/>
    <w:rPr>
      <w:color w:val="0563C1" w:themeColor="hyperlink"/>
      <w:u w:val="single"/>
      <w14:textFill>
        <w14:solidFill>
          <w14:schemeClr w14:val="hlink"/>
        </w14:solidFill>
      </w14:textFill>
    </w:rPr>
  </w:style>
  <w:style w:type="paragraph" w:styleId="5">
    <w:name w:val="List Paragraph"/>
    <w:basedOn w:val="1"/>
    <w:qFormat/>
    <w:uiPriority w:val="99"/>
    <w:pPr>
      <w:ind w:left="720"/>
      <w:contextualSpacing/>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2281</Words>
  <Characters>13006</Characters>
  <Lines>108</Lines>
  <Paragraphs>30</Paragraphs>
  <TotalTime>7</TotalTime>
  <ScaleCrop>false</ScaleCrop>
  <LinksUpToDate>false</LinksUpToDate>
  <CharactersWithSpaces>15257</CharactersWithSpaces>
  <Application>WPS Office_11.2.0.9967_F1E327BC-269C-435d-A152-05C5408002CA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2021-01-24T16:22:00Z</dcterms:created>
  <dc:creator>Татьяна</dc:creator>
  <cp:lastModifiedBy>Татьяна</cp:lastModifiedBy>
  <cp:lastPrinted>2021-01-25T08:33:00Z</cp:lastPrinted>
  <dcterms:modified xsi:type="dcterms:W3CDTF">2021-01-27T12:37:03Z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1049-11.2.0.9967</vt:lpwstr>
  </property>
</Properties>
</file>